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BC" w:rsidRDefault="00395ABC" w:rsidP="00395ABC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32172B" w:rsidRPr="00D01E33" w:rsidRDefault="005F64CA" w:rsidP="00395ABC">
      <w:p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El acopio, un actor clave de la agroindustria</w:t>
      </w:r>
    </w:p>
    <w:p w:rsidR="005F64CA" w:rsidRPr="005F64CA" w:rsidRDefault="005F64CA" w:rsidP="005F64CA">
      <w:pPr>
        <w:spacing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5F64CA">
        <w:rPr>
          <w:rFonts w:ascii="Tahoma" w:hAnsi="Tahoma" w:cs="Tahoma"/>
          <w:i/>
          <w:sz w:val="22"/>
          <w:szCs w:val="20"/>
        </w:rPr>
        <w:t>Un relevamiento que permite ver en números la importancia que tiene el sector acopiador en la economía</w:t>
      </w:r>
      <w:r w:rsidR="00115AAE">
        <w:rPr>
          <w:rFonts w:ascii="Tahoma" w:hAnsi="Tahoma" w:cs="Tahoma"/>
          <w:i/>
          <w:sz w:val="22"/>
          <w:szCs w:val="20"/>
        </w:rPr>
        <w:t xml:space="preserve"> nacional</w:t>
      </w:r>
      <w:r w:rsidRPr="005F64CA">
        <w:rPr>
          <w:rFonts w:ascii="Tahoma" w:hAnsi="Tahoma" w:cs="Tahoma"/>
          <w:i/>
          <w:sz w:val="22"/>
          <w:szCs w:val="20"/>
        </w:rPr>
        <w:t>.</w:t>
      </w:r>
    </w:p>
    <w:p w:rsidR="00D7463C" w:rsidRPr="00FB7A06" w:rsidRDefault="00395ABC" w:rsidP="00FB7A06">
      <w:pPr>
        <w:spacing w:line="240" w:lineRule="auto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A pedido de la</w:t>
      </w:r>
      <w:r w:rsidRPr="00395ABC">
        <w:rPr>
          <w:rFonts w:ascii="Tahoma" w:hAnsi="Tahoma" w:cs="Tahoma"/>
          <w:iCs/>
          <w:sz w:val="20"/>
          <w:szCs w:val="20"/>
        </w:rPr>
        <w:t xml:space="preserve"> Feder</w:t>
      </w:r>
      <w:r>
        <w:rPr>
          <w:rFonts w:ascii="Tahoma" w:hAnsi="Tahoma" w:cs="Tahoma"/>
          <w:iCs/>
          <w:sz w:val="20"/>
          <w:szCs w:val="20"/>
        </w:rPr>
        <w:t xml:space="preserve">ación de Acopiadores, la consultora SEMA </w:t>
      </w:r>
      <w:r w:rsidR="0032172B">
        <w:rPr>
          <w:rFonts w:ascii="Tahoma" w:hAnsi="Tahoma" w:cs="Tahoma"/>
          <w:iCs/>
          <w:sz w:val="20"/>
          <w:szCs w:val="20"/>
        </w:rPr>
        <w:t>(</w:t>
      </w:r>
      <w:r>
        <w:rPr>
          <w:rFonts w:ascii="Tahoma" w:hAnsi="Tahoma" w:cs="Tahoma"/>
          <w:iCs/>
          <w:sz w:val="20"/>
          <w:szCs w:val="20"/>
        </w:rPr>
        <w:t>Servicios y Marketing</w:t>
      </w:r>
      <w:r w:rsidR="0032172B">
        <w:rPr>
          <w:rFonts w:ascii="Tahoma" w:hAnsi="Tahoma" w:cs="Tahoma"/>
          <w:iCs/>
          <w:sz w:val="20"/>
          <w:szCs w:val="20"/>
        </w:rPr>
        <w:t>)</w:t>
      </w:r>
      <w:r>
        <w:rPr>
          <w:rFonts w:ascii="Tahoma" w:hAnsi="Tahoma" w:cs="Tahoma"/>
          <w:iCs/>
          <w:sz w:val="20"/>
          <w:szCs w:val="20"/>
        </w:rPr>
        <w:t xml:space="preserve"> realizó un</w:t>
      </w:r>
      <w:r w:rsidR="007D4FC4">
        <w:rPr>
          <w:rFonts w:ascii="Tahoma" w:hAnsi="Tahoma" w:cs="Tahoma"/>
          <w:iCs/>
          <w:sz w:val="20"/>
          <w:szCs w:val="20"/>
        </w:rPr>
        <w:t xml:space="preserve"> relevamiento de datos entre los actores del sector acopiador </w:t>
      </w:r>
      <w:r w:rsidR="003A7D9B">
        <w:rPr>
          <w:rFonts w:ascii="Tahoma" w:hAnsi="Tahoma" w:cs="Tahoma"/>
          <w:iCs/>
          <w:sz w:val="20"/>
          <w:szCs w:val="20"/>
        </w:rPr>
        <w:t xml:space="preserve">con el objetivo de relevar </w:t>
      </w:r>
      <w:r w:rsidRPr="00395ABC">
        <w:rPr>
          <w:rFonts w:ascii="Tahoma" w:hAnsi="Tahoma" w:cs="Tahoma"/>
          <w:iCs/>
          <w:sz w:val="20"/>
          <w:szCs w:val="20"/>
        </w:rPr>
        <w:t xml:space="preserve">información cuantitativa y </w:t>
      </w:r>
      <w:r w:rsidR="003A7D9B" w:rsidRPr="00395ABC">
        <w:rPr>
          <w:rFonts w:ascii="Tahoma" w:hAnsi="Tahoma" w:cs="Tahoma"/>
          <w:iCs/>
          <w:sz w:val="20"/>
          <w:szCs w:val="20"/>
        </w:rPr>
        <w:t>fehaciente</w:t>
      </w:r>
      <w:r w:rsidRPr="00395ABC">
        <w:rPr>
          <w:rFonts w:ascii="Tahoma" w:hAnsi="Tahoma" w:cs="Tahoma"/>
          <w:iCs/>
          <w:sz w:val="20"/>
          <w:szCs w:val="20"/>
        </w:rPr>
        <w:t xml:space="preserve"> </w:t>
      </w:r>
      <w:r w:rsidR="003A7D9B">
        <w:rPr>
          <w:rFonts w:ascii="Tahoma" w:hAnsi="Tahoma" w:cs="Tahoma"/>
          <w:iCs/>
          <w:sz w:val="20"/>
          <w:szCs w:val="20"/>
        </w:rPr>
        <w:t xml:space="preserve">sobre </w:t>
      </w:r>
      <w:r>
        <w:rPr>
          <w:rFonts w:ascii="Tahoma" w:hAnsi="Tahoma" w:cs="Tahoma"/>
          <w:iCs/>
          <w:sz w:val="20"/>
          <w:szCs w:val="20"/>
        </w:rPr>
        <w:t xml:space="preserve">el rol </w:t>
      </w:r>
      <w:r w:rsidR="007D4FC4">
        <w:rPr>
          <w:rFonts w:ascii="Tahoma" w:hAnsi="Tahoma" w:cs="Tahoma"/>
          <w:iCs/>
          <w:sz w:val="20"/>
          <w:szCs w:val="20"/>
        </w:rPr>
        <w:t xml:space="preserve">que desempeñan </w:t>
      </w:r>
      <w:r w:rsidRPr="00395ABC">
        <w:rPr>
          <w:rFonts w:ascii="Tahoma" w:hAnsi="Tahoma" w:cs="Tahoma"/>
          <w:iCs/>
          <w:sz w:val="20"/>
          <w:szCs w:val="20"/>
        </w:rPr>
        <w:t>en la producción de granos y en la comercialización de insumos para la agricultura.</w:t>
      </w:r>
      <w:r w:rsidR="00FB7A06">
        <w:rPr>
          <w:rFonts w:ascii="Tahoma" w:hAnsi="Tahoma" w:cs="Tahoma"/>
          <w:iCs/>
          <w:sz w:val="20"/>
          <w:szCs w:val="20"/>
        </w:rPr>
        <w:t xml:space="preserve"> </w:t>
      </w:r>
      <w:r w:rsidR="00657FD0">
        <w:rPr>
          <w:rFonts w:ascii="Tahoma" w:hAnsi="Tahoma" w:cs="Tahoma"/>
          <w:iCs/>
          <w:sz w:val="20"/>
          <w:szCs w:val="20"/>
        </w:rPr>
        <w:t xml:space="preserve">El sondeo fue realizado </w:t>
      </w:r>
      <w:r w:rsidR="001568A9">
        <w:rPr>
          <w:rFonts w:ascii="Tahoma" w:hAnsi="Tahoma" w:cs="Tahoma"/>
          <w:iCs/>
          <w:sz w:val="20"/>
          <w:szCs w:val="20"/>
        </w:rPr>
        <w:t>durante el año pasado</w:t>
      </w:r>
      <w:r w:rsidR="00C22C49">
        <w:rPr>
          <w:rFonts w:ascii="Tahoma" w:hAnsi="Tahoma" w:cs="Tahoma"/>
          <w:iCs/>
          <w:sz w:val="20"/>
          <w:szCs w:val="20"/>
        </w:rPr>
        <w:t>,</w:t>
      </w:r>
      <w:r w:rsidR="001568A9">
        <w:rPr>
          <w:rFonts w:ascii="Tahoma" w:hAnsi="Tahoma" w:cs="Tahoma"/>
          <w:iCs/>
          <w:sz w:val="20"/>
          <w:szCs w:val="20"/>
        </w:rPr>
        <w:t xml:space="preserve"> </w:t>
      </w:r>
      <w:r w:rsidR="00FB7A06">
        <w:rPr>
          <w:rFonts w:ascii="Tahoma" w:hAnsi="Tahoma" w:cs="Tahoma"/>
          <w:iCs/>
          <w:sz w:val="20"/>
          <w:szCs w:val="20"/>
        </w:rPr>
        <w:t>de forma online</w:t>
      </w:r>
      <w:r w:rsidR="00C22C49">
        <w:rPr>
          <w:rFonts w:ascii="Tahoma" w:hAnsi="Tahoma" w:cs="Tahoma"/>
          <w:iCs/>
          <w:sz w:val="20"/>
          <w:szCs w:val="20"/>
        </w:rPr>
        <w:t>,</w:t>
      </w:r>
      <w:r w:rsidR="00FB7A06">
        <w:rPr>
          <w:rFonts w:ascii="Tahoma" w:hAnsi="Tahoma" w:cs="Tahoma"/>
          <w:iCs/>
          <w:sz w:val="20"/>
          <w:szCs w:val="20"/>
        </w:rPr>
        <w:t xml:space="preserve"> entre los asociados </w:t>
      </w:r>
      <w:r w:rsidR="003A7D9B">
        <w:rPr>
          <w:rFonts w:ascii="Tahoma" w:hAnsi="Tahoma" w:cs="Tahoma"/>
          <w:iCs/>
          <w:sz w:val="20"/>
          <w:szCs w:val="20"/>
        </w:rPr>
        <w:t xml:space="preserve">de </w:t>
      </w:r>
      <w:r w:rsidR="00FB7A06">
        <w:rPr>
          <w:rFonts w:ascii="Tahoma" w:hAnsi="Tahoma" w:cs="Tahoma"/>
          <w:iCs/>
          <w:sz w:val="20"/>
          <w:szCs w:val="20"/>
        </w:rPr>
        <w:t xml:space="preserve">los Centros de Acopiadores y fue respondida </w:t>
      </w:r>
      <w:r w:rsidR="00FB7A06" w:rsidRPr="00FB7A06">
        <w:rPr>
          <w:rFonts w:ascii="Tahoma" w:hAnsi="Tahoma" w:cs="Tahoma"/>
          <w:iCs/>
          <w:sz w:val="20"/>
          <w:szCs w:val="20"/>
        </w:rPr>
        <w:t xml:space="preserve">por un </w:t>
      </w:r>
      <w:r w:rsidR="0032172B">
        <w:rPr>
          <w:rFonts w:ascii="Tahoma" w:hAnsi="Tahoma" w:cs="Tahoma"/>
          <w:iCs/>
          <w:sz w:val="20"/>
          <w:szCs w:val="20"/>
        </w:rPr>
        <w:t>representante</w:t>
      </w:r>
      <w:r w:rsidR="00FB7A06" w:rsidRPr="00FB7A06">
        <w:rPr>
          <w:rFonts w:ascii="Tahoma" w:hAnsi="Tahoma" w:cs="Tahoma"/>
          <w:iCs/>
          <w:sz w:val="20"/>
          <w:szCs w:val="20"/>
        </w:rPr>
        <w:t xml:space="preserve"> de cada empresa</w:t>
      </w:r>
      <w:r w:rsidR="003A7D9B">
        <w:rPr>
          <w:rFonts w:ascii="Tahoma" w:hAnsi="Tahoma" w:cs="Tahoma"/>
          <w:iCs/>
          <w:sz w:val="20"/>
          <w:szCs w:val="20"/>
        </w:rPr>
        <w:t>, e</w:t>
      </w:r>
      <w:r w:rsidR="00C22C49">
        <w:rPr>
          <w:rFonts w:ascii="Tahoma" w:hAnsi="Tahoma" w:cs="Tahoma"/>
          <w:iCs/>
          <w:sz w:val="20"/>
          <w:szCs w:val="20"/>
        </w:rPr>
        <w:t xml:space="preserve">s decir, </w:t>
      </w:r>
      <w:r w:rsidR="00FB7A06" w:rsidRPr="00FB7A06">
        <w:rPr>
          <w:rFonts w:ascii="Tahoma" w:hAnsi="Tahoma" w:cs="Tahoma"/>
          <w:iCs/>
          <w:sz w:val="20"/>
          <w:szCs w:val="20"/>
        </w:rPr>
        <w:t xml:space="preserve">no por </w:t>
      </w:r>
      <w:r w:rsidR="0032172B">
        <w:rPr>
          <w:rFonts w:ascii="Tahoma" w:hAnsi="Tahoma" w:cs="Tahoma"/>
          <w:iCs/>
          <w:sz w:val="20"/>
          <w:szCs w:val="20"/>
        </w:rPr>
        <w:t>su</w:t>
      </w:r>
      <w:r w:rsidR="003A7D9B">
        <w:rPr>
          <w:rFonts w:ascii="Tahoma" w:hAnsi="Tahoma" w:cs="Tahoma"/>
          <w:iCs/>
          <w:sz w:val="20"/>
          <w:szCs w:val="20"/>
        </w:rPr>
        <w:t>cu</w:t>
      </w:r>
      <w:r w:rsidR="0032172B">
        <w:rPr>
          <w:rFonts w:ascii="Tahoma" w:hAnsi="Tahoma" w:cs="Tahoma"/>
          <w:iCs/>
          <w:sz w:val="20"/>
          <w:szCs w:val="20"/>
        </w:rPr>
        <w:t>rsal ni</w:t>
      </w:r>
      <w:r w:rsidR="00C22C49">
        <w:rPr>
          <w:rFonts w:ascii="Tahoma" w:hAnsi="Tahoma" w:cs="Tahoma"/>
          <w:iCs/>
          <w:sz w:val="20"/>
          <w:szCs w:val="20"/>
        </w:rPr>
        <w:t xml:space="preserve"> planta</w:t>
      </w:r>
      <w:r w:rsidR="00FB7A06" w:rsidRPr="00FB7A06">
        <w:rPr>
          <w:rFonts w:ascii="Tahoma" w:hAnsi="Tahoma" w:cs="Tahoma"/>
          <w:iCs/>
          <w:sz w:val="20"/>
          <w:szCs w:val="20"/>
        </w:rPr>
        <w:t>.</w:t>
      </w:r>
      <w:r w:rsidR="005B23E5">
        <w:rPr>
          <w:rFonts w:ascii="Tahoma" w:hAnsi="Tahoma" w:cs="Tahoma"/>
          <w:iCs/>
          <w:sz w:val="20"/>
          <w:szCs w:val="20"/>
        </w:rPr>
        <w:t xml:space="preserve"> El objetivo de la Federación es hacer de este relevamiento una tarea habitual que permita medir la evolución del sector. </w:t>
      </w:r>
    </w:p>
    <w:p w:rsidR="00803A44" w:rsidRDefault="00803A44" w:rsidP="00803A44">
      <w:pPr>
        <w:spacing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803A44">
        <w:rPr>
          <w:rFonts w:ascii="Tahoma" w:hAnsi="Tahoma" w:cs="Tahoma"/>
          <w:iCs/>
          <w:sz w:val="20"/>
          <w:szCs w:val="20"/>
        </w:rPr>
        <w:t xml:space="preserve">Las empresas acopiadoras </w:t>
      </w:r>
      <w:r w:rsidR="00657FD0">
        <w:rPr>
          <w:rFonts w:ascii="Tahoma" w:hAnsi="Tahoma" w:cs="Tahoma"/>
          <w:iCs/>
          <w:sz w:val="20"/>
          <w:szCs w:val="20"/>
        </w:rPr>
        <w:t>consultadas</w:t>
      </w:r>
      <w:r w:rsidR="00657FD0" w:rsidRPr="00803A44">
        <w:rPr>
          <w:rFonts w:ascii="Tahoma" w:hAnsi="Tahoma" w:cs="Tahoma"/>
          <w:iCs/>
          <w:sz w:val="20"/>
          <w:szCs w:val="20"/>
        </w:rPr>
        <w:t xml:space="preserve"> </w:t>
      </w:r>
      <w:r w:rsidRPr="00803A44">
        <w:rPr>
          <w:rFonts w:ascii="Tahoma" w:hAnsi="Tahoma" w:cs="Tahoma"/>
          <w:iCs/>
          <w:sz w:val="20"/>
          <w:szCs w:val="20"/>
        </w:rPr>
        <w:t>poseen un promedio de 2,</w:t>
      </w:r>
      <w:r>
        <w:rPr>
          <w:rFonts w:ascii="Tahoma" w:hAnsi="Tahoma" w:cs="Tahoma"/>
          <w:iCs/>
          <w:sz w:val="20"/>
          <w:szCs w:val="20"/>
        </w:rPr>
        <w:t>15 plantas de acopio</w:t>
      </w:r>
      <w:r w:rsidRPr="00803A44">
        <w:rPr>
          <w:rFonts w:ascii="Tahoma" w:hAnsi="Tahoma" w:cs="Tahoma"/>
          <w:iCs/>
          <w:sz w:val="20"/>
          <w:szCs w:val="20"/>
        </w:rPr>
        <w:t xml:space="preserve">, lo que permite estimar un total de entre </w:t>
      </w:r>
      <w:r>
        <w:rPr>
          <w:rFonts w:ascii="Tahoma" w:hAnsi="Tahoma" w:cs="Tahoma"/>
          <w:iCs/>
          <w:sz w:val="20"/>
          <w:szCs w:val="20"/>
        </w:rPr>
        <w:t>1.600 y 1.800 plantas en todo el</w:t>
      </w:r>
      <w:r w:rsidRPr="00803A44">
        <w:rPr>
          <w:rFonts w:ascii="Tahoma" w:hAnsi="Tahoma" w:cs="Tahoma"/>
          <w:iCs/>
          <w:sz w:val="20"/>
          <w:szCs w:val="20"/>
        </w:rPr>
        <w:t xml:space="preserve"> país.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="00657FD0">
        <w:rPr>
          <w:rFonts w:ascii="Tahoma" w:hAnsi="Tahoma" w:cs="Tahoma"/>
          <w:iCs/>
          <w:sz w:val="20"/>
          <w:szCs w:val="20"/>
        </w:rPr>
        <w:t>Por otra parte, l</w:t>
      </w:r>
      <w:r w:rsidR="003A7D9B">
        <w:rPr>
          <w:rFonts w:ascii="Tahoma" w:hAnsi="Tahoma" w:cs="Tahoma"/>
          <w:iCs/>
          <w:sz w:val="20"/>
          <w:szCs w:val="20"/>
        </w:rPr>
        <w:t>a capacidad de almacenaje promedio de cada planta es de 31.800 toneladas,</w:t>
      </w:r>
      <w:r w:rsidR="00657FD0">
        <w:rPr>
          <w:rFonts w:ascii="Tahoma" w:hAnsi="Tahoma" w:cs="Tahoma"/>
          <w:iCs/>
          <w:sz w:val="20"/>
          <w:szCs w:val="20"/>
        </w:rPr>
        <w:t xml:space="preserve"> lo que arroja </w:t>
      </w:r>
      <w:r w:rsidR="00695A5B">
        <w:rPr>
          <w:rFonts w:ascii="Tahoma" w:hAnsi="Tahoma" w:cs="Tahoma"/>
          <w:iCs/>
          <w:sz w:val="20"/>
          <w:szCs w:val="20"/>
        </w:rPr>
        <w:t>una</w:t>
      </w:r>
      <w:r w:rsidR="003A7D9B">
        <w:rPr>
          <w:rFonts w:ascii="Tahoma" w:hAnsi="Tahoma" w:cs="Tahoma"/>
          <w:iCs/>
          <w:sz w:val="20"/>
          <w:szCs w:val="20"/>
        </w:rPr>
        <w:t xml:space="preserve"> capacidad total </w:t>
      </w:r>
      <w:r w:rsidR="00535C58">
        <w:rPr>
          <w:rFonts w:ascii="Tahoma" w:hAnsi="Tahoma" w:cs="Tahoma"/>
          <w:iCs/>
          <w:sz w:val="20"/>
          <w:szCs w:val="20"/>
        </w:rPr>
        <w:t xml:space="preserve">para el sector </w:t>
      </w:r>
      <w:r w:rsidR="003A7D9B">
        <w:rPr>
          <w:rFonts w:ascii="Tahoma" w:hAnsi="Tahoma" w:cs="Tahoma"/>
          <w:iCs/>
          <w:sz w:val="20"/>
          <w:szCs w:val="20"/>
        </w:rPr>
        <w:t xml:space="preserve">de casi </w:t>
      </w:r>
      <w:r>
        <w:rPr>
          <w:rFonts w:ascii="Tahoma" w:hAnsi="Tahoma" w:cs="Tahoma"/>
          <w:iCs/>
          <w:sz w:val="20"/>
          <w:szCs w:val="20"/>
        </w:rPr>
        <w:t>24 millones</w:t>
      </w:r>
      <w:r w:rsidRPr="00803A44">
        <w:rPr>
          <w:rFonts w:ascii="Tahoma" w:hAnsi="Tahoma" w:cs="Tahoma"/>
          <w:iCs/>
          <w:sz w:val="20"/>
          <w:szCs w:val="20"/>
        </w:rPr>
        <w:t xml:space="preserve"> de ton</w:t>
      </w:r>
      <w:r>
        <w:rPr>
          <w:rFonts w:ascii="Tahoma" w:hAnsi="Tahoma" w:cs="Tahoma"/>
          <w:iCs/>
          <w:sz w:val="20"/>
          <w:szCs w:val="20"/>
        </w:rPr>
        <w:t>eladas</w:t>
      </w:r>
      <w:r w:rsidRPr="00803A44">
        <w:rPr>
          <w:rFonts w:ascii="Tahoma" w:hAnsi="Tahoma" w:cs="Tahoma"/>
          <w:iCs/>
          <w:sz w:val="20"/>
          <w:szCs w:val="20"/>
        </w:rPr>
        <w:t>.</w:t>
      </w:r>
      <w:r w:rsidR="00657FD0">
        <w:rPr>
          <w:rFonts w:ascii="Tahoma" w:hAnsi="Tahoma" w:cs="Tahoma"/>
          <w:iCs/>
          <w:sz w:val="20"/>
          <w:szCs w:val="20"/>
        </w:rPr>
        <w:t xml:space="preserve"> </w:t>
      </w:r>
      <w:r w:rsidR="00EF4B7C">
        <w:rPr>
          <w:rFonts w:ascii="Tahoma" w:hAnsi="Tahoma" w:cs="Tahoma"/>
          <w:iCs/>
          <w:sz w:val="20"/>
          <w:szCs w:val="20"/>
        </w:rPr>
        <w:t>De ese total, e</w:t>
      </w:r>
      <w:r w:rsidRPr="00803A44">
        <w:rPr>
          <w:rFonts w:ascii="Tahoma" w:hAnsi="Tahoma" w:cs="Tahoma"/>
          <w:iCs/>
          <w:sz w:val="20"/>
          <w:szCs w:val="20"/>
        </w:rPr>
        <w:t>l 60% cuenta</w:t>
      </w:r>
      <w:r w:rsidR="00EF4B7C">
        <w:rPr>
          <w:rFonts w:ascii="Tahoma" w:hAnsi="Tahoma" w:cs="Tahoma"/>
          <w:iCs/>
          <w:sz w:val="20"/>
          <w:szCs w:val="20"/>
        </w:rPr>
        <w:t xml:space="preserve"> con una capacidad </w:t>
      </w:r>
      <w:r w:rsidRPr="00803A44">
        <w:rPr>
          <w:rFonts w:ascii="Tahoma" w:hAnsi="Tahoma" w:cs="Tahoma"/>
          <w:iCs/>
          <w:sz w:val="20"/>
          <w:szCs w:val="20"/>
        </w:rPr>
        <w:t xml:space="preserve">menor a </w:t>
      </w:r>
      <w:r w:rsidR="00EF4B7C">
        <w:rPr>
          <w:rFonts w:ascii="Tahoma" w:hAnsi="Tahoma" w:cs="Tahoma"/>
          <w:iCs/>
          <w:sz w:val="20"/>
          <w:szCs w:val="20"/>
        </w:rPr>
        <w:t>20 mil</w:t>
      </w:r>
      <w:r w:rsidRPr="00803A44">
        <w:rPr>
          <w:rFonts w:ascii="Tahoma" w:hAnsi="Tahoma" w:cs="Tahoma"/>
          <w:iCs/>
          <w:sz w:val="20"/>
          <w:szCs w:val="20"/>
        </w:rPr>
        <w:t xml:space="preserve"> ton</w:t>
      </w:r>
      <w:r w:rsidR="00EF4B7C">
        <w:rPr>
          <w:rFonts w:ascii="Tahoma" w:hAnsi="Tahoma" w:cs="Tahoma"/>
          <w:iCs/>
          <w:sz w:val="20"/>
          <w:szCs w:val="20"/>
        </w:rPr>
        <w:t>eladas</w:t>
      </w:r>
      <w:r w:rsidRPr="00803A44">
        <w:rPr>
          <w:rFonts w:ascii="Tahoma" w:hAnsi="Tahoma" w:cs="Tahoma"/>
          <w:iCs/>
          <w:sz w:val="20"/>
          <w:szCs w:val="20"/>
        </w:rPr>
        <w:t xml:space="preserve"> (empresas chicas), el 32%</w:t>
      </w:r>
      <w:r w:rsidR="00EF4B7C">
        <w:rPr>
          <w:rFonts w:ascii="Tahoma" w:hAnsi="Tahoma" w:cs="Tahoma"/>
          <w:iCs/>
          <w:sz w:val="20"/>
          <w:szCs w:val="20"/>
        </w:rPr>
        <w:t xml:space="preserve"> </w:t>
      </w:r>
      <w:r w:rsidR="00695A5B">
        <w:rPr>
          <w:rFonts w:ascii="Tahoma" w:hAnsi="Tahoma" w:cs="Tahoma"/>
          <w:iCs/>
          <w:sz w:val="20"/>
          <w:szCs w:val="20"/>
        </w:rPr>
        <w:t>posee</w:t>
      </w:r>
      <w:r w:rsidR="00695A5B" w:rsidRPr="00803A44">
        <w:rPr>
          <w:rFonts w:ascii="Tahoma" w:hAnsi="Tahoma" w:cs="Tahoma"/>
          <w:iCs/>
          <w:sz w:val="20"/>
          <w:szCs w:val="20"/>
        </w:rPr>
        <w:t xml:space="preserve"> </w:t>
      </w:r>
      <w:r w:rsidRPr="00803A44">
        <w:rPr>
          <w:rFonts w:ascii="Tahoma" w:hAnsi="Tahoma" w:cs="Tahoma"/>
          <w:iCs/>
          <w:sz w:val="20"/>
          <w:szCs w:val="20"/>
        </w:rPr>
        <w:t xml:space="preserve">entre </w:t>
      </w:r>
      <w:r w:rsidR="00EF4B7C">
        <w:rPr>
          <w:rFonts w:ascii="Tahoma" w:hAnsi="Tahoma" w:cs="Tahoma"/>
          <w:iCs/>
          <w:sz w:val="20"/>
          <w:szCs w:val="20"/>
        </w:rPr>
        <w:t>20 mil y 80 mil</w:t>
      </w:r>
      <w:r w:rsidRPr="00803A44">
        <w:rPr>
          <w:rFonts w:ascii="Tahoma" w:hAnsi="Tahoma" w:cs="Tahoma"/>
          <w:iCs/>
          <w:sz w:val="20"/>
          <w:szCs w:val="20"/>
        </w:rPr>
        <w:t xml:space="preserve"> ton</w:t>
      </w:r>
      <w:r w:rsidR="00EF4B7C">
        <w:rPr>
          <w:rFonts w:ascii="Tahoma" w:hAnsi="Tahoma" w:cs="Tahoma"/>
          <w:iCs/>
          <w:sz w:val="20"/>
          <w:szCs w:val="20"/>
        </w:rPr>
        <w:t>eladas</w:t>
      </w:r>
      <w:r w:rsidRPr="00803A44">
        <w:rPr>
          <w:rFonts w:ascii="Tahoma" w:hAnsi="Tahoma" w:cs="Tahoma"/>
          <w:iCs/>
          <w:sz w:val="20"/>
          <w:szCs w:val="20"/>
        </w:rPr>
        <w:t xml:space="preserve"> </w:t>
      </w:r>
      <w:r w:rsidR="00EF4B7C">
        <w:rPr>
          <w:rFonts w:ascii="Tahoma" w:hAnsi="Tahoma" w:cs="Tahoma"/>
          <w:iCs/>
          <w:sz w:val="20"/>
          <w:szCs w:val="20"/>
        </w:rPr>
        <w:t>(</w:t>
      </w:r>
      <w:r w:rsidRPr="00803A44">
        <w:rPr>
          <w:rFonts w:ascii="Tahoma" w:hAnsi="Tahoma" w:cs="Tahoma"/>
          <w:iCs/>
          <w:sz w:val="20"/>
          <w:szCs w:val="20"/>
        </w:rPr>
        <w:t>medianas) y el 8%</w:t>
      </w:r>
      <w:r w:rsidR="00EF4B7C">
        <w:rPr>
          <w:rFonts w:ascii="Tahoma" w:hAnsi="Tahoma" w:cs="Tahoma"/>
          <w:iCs/>
          <w:sz w:val="20"/>
          <w:szCs w:val="20"/>
        </w:rPr>
        <w:t xml:space="preserve"> posee</w:t>
      </w:r>
      <w:r w:rsidRPr="00803A44">
        <w:rPr>
          <w:rFonts w:ascii="Tahoma" w:hAnsi="Tahoma" w:cs="Tahoma"/>
          <w:iCs/>
          <w:sz w:val="20"/>
          <w:szCs w:val="20"/>
        </w:rPr>
        <w:t xml:space="preserve"> una capacidad superior a las </w:t>
      </w:r>
      <w:r w:rsidR="00EF4B7C">
        <w:rPr>
          <w:rFonts w:ascii="Tahoma" w:hAnsi="Tahoma" w:cs="Tahoma"/>
          <w:iCs/>
          <w:sz w:val="20"/>
          <w:szCs w:val="20"/>
        </w:rPr>
        <w:t>80 mil</w:t>
      </w:r>
      <w:r w:rsidRPr="00803A44">
        <w:rPr>
          <w:rFonts w:ascii="Tahoma" w:hAnsi="Tahoma" w:cs="Tahoma"/>
          <w:iCs/>
          <w:sz w:val="20"/>
          <w:szCs w:val="20"/>
        </w:rPr>
        <w:t xml:space="preserve"> </w:t>
      </w:r>
      <w:r w:rsidR="00EF4B7C">
        <w:rPr>
          <w:rFonts w:ascii="Tahoma" w:hAnsi="Tahoma" w:cs="Tahoma"/>
          <w:iCs/>
          <w:sz w:val="20"/>
          <w:szCs w:val="20"/>
        </w:rPr>
        <w:t>(</w:t>
      </w:r>
      <w:r w:rsidRPr="00803A44">
        <w:rPr>
          <w:rFonts w:ascii="Tahoma" w:hAnsi="Tahoma" w:cs="Tahoma"/>
          <w:iCs/>
          <w:sz w:val="20"/>
          <w:szCs w:val="20"/>
        </w:rPr>
        <w:t>grandes).</w:t>
      </w:r>
    </w:p>
    <w:p w:rsidR="00EF4B7C" w:rsidRDefault="004E54C8" w:rsidP="00803A44">
      <w:pPr>
        <w:spacing w:line="240" w:lineRule="auto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Ante la consulta sobre la cantidad de personal contratado, el 39% reveló que tiene entre 0 y 10 </w:t>
      </w:r>
      <w:r w:rsidR="00695A5B">
        <w:rPr>
          <w:rFonts w:ascii="Tahoma" w:hAnsi="Tahoma" w:cs="Tahoma"/>
          <w:iCs/>
          <w:sz w:val="20"/>
          <w:szCs w:val="20"/>
        </w:rPr>
        <w:t xml:space="preserve">% </w:t>
      </w:r>
      <w:r>
        <w:rPr>
          <w:rFonts w:ascii="Tahoma" w:hAnsi="Tahoma" w:cs="Tahoma"/>
          <w:iCs/>
          <w:sz w:val="20"/>
          <w:szCs w:val="20"/>
        </w:rPr>
        <w:t xml:space="preserve">empleados, el 33% de 11 a 20, el 8% de 21 a 30 y el 2% entre 31 y 40. Mientras que el </w:t>
      </w:r>
      <w:r w:rsidR="00695A5B">
        <w:rPr>
          <w:rFonts w:ascii="Tahoma" w:hAnsi="Tahoma" w:cs="Tahoma"/>
          <w:iCs/>
          <w:sz w:val="20"/>
          <w:szCs w:val="20"/>
        </w:rPr>
        <w:t>17% r</w:t>
      </w:r>
      <w:r>
        <w:rPr>
          <w:rFonts w:ascii="Tahoma" w:hAnsi="Tahoma" w:cs="Tahoma"/>
          <w:iCs/>
          <w:sz w:val="20"/>
          <w:szCs w:val="20"/>
        </w:rPr>
        <w:t>estante se enmarca en la categoría superi</w:t>
      </w:r>
      <w:r w:rsidR="00D01E33">
        <w:rPr>
          <w:rFonts w:ascii="Tahoma" w:hAnsi="Tahoma" w:cs="Tahoma"/>
          <w:iCs/>
          <w:sz w:val="20"/>
          <w:szCs w:val="20"/>
        </w:rPr>
        <w:t>or a los 41</w:t>
      </w:r>
      <w:r w:rsidR="00C22C49">
        <w:rPr>
          <w:rFonts w:ascii="Tahoma" w:hAnsi="Tahoma" w:cs="Tahoma"/>
          <w:iCs/>
          <w:sz w:val="20"/>
          <w:szCs w:val="20"/>
        </w:rPr>
        <w:t xml:space="preserve"> trabajadores</w:t>
      </w:r>
      <w:r w:rsidR="00D01E33">
        <w:rPr>
          <w:rFonts w:ascii="Tahoma" w:hAnsi="Tahoma" w:cs="Tahoma"/>
          <w:iCs/>
          <w:sz w:val="20"/>
          <w:szCs w:val="20"/>
        </w:rPr>
        <w:t>. De estas cifras</w:t>
      </w:r>
      <w:r w:rsidR="00C22C49">
        <w:rPr>
          <w:rFonts w:ascii="Tahoma" w:hAnsi="Tahoma" w:cs="Tahoma"/>
          <w:iCs/>
          <w:sz w:val="20"/>
          <w:szCs w:val="20"/>
        </w:rPr>
        <w:t>,</w:t>
      </w:r>
      <w:r w:rsidR="00D01E33">
        <w:rPr>
          <w:rFonts w:ascii="Tahoma" w:hAnsi="Tahoma" w:cs="Tahoma"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>se desprende que el sector del acopio contrata a unas 20 mil personas de manera directa</w:t>
      </w:r>
      <w:r w:rsidR="001568A9">
        <w:rPr>
          <w:rFonts w:ascii="Tahoma" w:hAnsi="Tahoma" w:cs="Tahoma"/>
          <w:iCs/>
          <w:sz w:val="20"/>
          <w:szCs w:val="20"/>
        </w:rPr>
        <w:t xml:space="preserve">, </w:t>
      </w:r>
      <w:r w:rsidR="00695A5B">
        <w:rPr>
          <w:rFonts w:ascii="Tahoma" w:hAnsi="Tahoma" w:cs="Tahoma"/>
          <w:iCs/>
          <w:sz w:val="20"/>
          <w:szCs w:val="20"/>
        </w:rPr>
        <w:t>con un</w:t>
      </w:r>
      <w:r w:rsidR="001568A9">
        <w:rPr>
          <w:rFonts w:ascii="Tahoma" w:hAnsi="Tahoma" w:cs="Tahoma"/>
          <w:iCs/>
          <w:sz w:val="20"/>
          <w:szCs w:val="20"/>
        </w:rPr>
        <w:t xml:space="preserve"> promedio de 26 empleados por empresa</w:t>
      </w:r>
      <w:r>
        <w:rPr>
          <w:rFonts w:ascii="Tahoma" w:hAnsi="Tahoma" w:cs="Tahoma"/>
          <w:iCs/>
          <w:sz w:val="20"/>
          <w:szCs w:val="20"/>
        </w:rPr>
        <w:t xml:space="preserve">. </w:t>
      </w:r>
    </w:p>
    <w:p w:rsidR="00C22245" w:rsidRPr="00C22245" w:rsidRDefault="00B47494" w:rsidP="00C22245">
      <w:pPr>
        <w:spacing w:line="240" w:lineRule="auto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Por otra parte, </w:t>
      </w:r>
      <w:r w:rsidR="0032172B">
        <w:rPr>
          <w:rFonts w:ascii="Tahoma" w:hAnsi="Tahoma" w:cs="Tahoma"/>
          <w:iCs/>
          <w:sz w:val="20"/>
          <w:szCs w:val="20"/>
        </w:rPr>
        <w:t>solo el 65% de los consultados</w:t>
      </w:r>
      <w:r>
        <w:rPr>
          <w:rFonts w:ascii="Tahoma" w:hAnsi="Tahoma" w:cs="Tahoma"/>
          <w:iCs/>
          <w:sz w:val="20"/>
          <w:szCs w:val="20"/>
        </w:rPr>
        <w:t xml:space="preserve"> dispone de</w:t>
      </w:r>
      <w:r w:rsidRPr="00B47494">
        <w:rPr>
          <w:rFonts w:ascii="Tahoma" w:hAnsi="Tahoma" w:cs="Tahoma"/>
          <w:iCs/>
          <w:sz w:val="20"/>
          <w:szCs w:val="20"/>
        </w:rPr>
        <w:t xml:space="preserve"> camiones (6</w:t>
      </w:r>
      <w:r w:rsidR="005B23E5">
        <w:rPr>
          <w:rFonts w:ascii="Tahoma" w:hAnsi="Tahoma" w:cs="Tahoma"/>
          <w:iCs/>
          <w:sz w:val="20"/>
          <w:szCs w:val="20"/>
        </w:rPr>
        <w:t xml:space="preserve"> vehículos</w:t>
      </w:r>
      <w:r w:rsidRPr="00B47494">
        <w:rPr>
          <w:rFonts w:ascii="Tahoma" w:hAnsi="Tahoma" w:cs="Tahoma"/>
          <w:iCs/>
          <w:sz w:val="20"/>
          <w:szCs w:val="20"/>
        </w:rPr>
        <w:t xml:space="preserve"> en promedio), lo que permite estimar un total de más de </w:t>
      </w:r>
      <w:r>
        <w:rPr>
          <w:rFonts w:ascii="Tahoma" w:hAnsi="Tahoma" w:cs="Tahoma"/>
          <w:iCs/>
          <w:sz w:val="20"/>
          <w:szCs w:val="20"/>
        </w:rPr>
        <w:t>3 mil unidades propia</w:t>
      </w:r>
      <w:r w:rsidRPr="00B47494">
        <w:rPr>
          <w:rFonts w:ascii="Tahoma" w:hAnsi="Tahoma" w:cs="Tahoma"/>
          <w:iCs/>
          <w:sz w:val="20"/>
          <w:szCs w:val="20"/>
        </w:rPr>
        <w:t>s en el sector. El 60%</w:t>
      </w:r>
      <w:r>
        <w:rPr>
          <w:rFonts w:ascii="Tahoma" w:hAnsi="Tahoma" w:cs="Tahoma"/>
          <w:iCs/>
          <w:sz w:val="20"/>
          <w:szCs w:val="20"/>
        </w:rPr>
        <w:t xml:space="preserve"> de la flota tiene</w:t>
      </w:r>
      <w:r w:rsidRPr="00B47494">
        <w:rPr>
          <w:rFonts w:ascii="Tahoma" w:hAnsi="Tahoma" w:cs="Tahoma"/>
          <w:iCs/>
          <w:sz w:val="20"/>
          <w:szCs w:val="20"/>
        </w:rPr>
        <w:t xml:space="preserve"> menos de 10 años</w:t>
      </w:r>
      <w:r w:rsidR="00C22C49">
        <w:rPr>
          <w:rFonts w:ascii="Tahoma" w:hAnsi="Tahoma" w:cs="Tahoma"/>
          <w:iCs/>
          <w:sz w:val="20"/>
          <w:szCs w:val="20"/>
        </w:rPr>
        <w:t>, el 31% tiene entre 11 y 20,</w:t>
      </w:r>
      <w:r>
        <w:rPr>
          <w:rFonts w:ascii="Tahoma" w:hAnsi="Tahoma" w:cs="Tahoma"/>
          <w:iCs/>
          <w:sz w:val="20"/>
          <w:szCs w:val="20"/>
        </w:rPr>
        <w:t xml:space="preserve"> y el 9% supera las dos décadas de antigüedad</w:t>
      </w:r>
      <w:r w:rsidRPr="00B47494">
        <w:rPr>
          <w:rFonts w:ascii="Tahoma" w:hAnsi="Tahoma" w:cs="Tahoma"/>
          <w:iCs/>
          <w:sz w:val="20"/>
          <w:szCs w:val="20"/>
        </w:rPr>
        <w:t>.</w:t>
      </w:r>
      <w:r w:rsidR="00C22245">
        <w:rPr>
          <w:rFonts w:ascii="Tahoma" w:hAnsi="Tahoma" w:cs="Tahoma"/>
          <w:iCs/>
          <w:sz w:val="20"/>
          <w:szCs w:val="20"/>
        </w:rPr>
        <w:t xml:space="preserve"> Mientras </w:t>
      </w:r>
      <w:r w:rsidR="00C22245" w:rsidRPr="00C22245">
        <w:rPr>
          <w:rFonts w:ascii="Tahoma" w:hAnsi="Tahoma" w:cs="Tahoma"/>
          <w:iCs/>
          <w:sz w:val="20"/>
          <w:szCs w:val="20"/>
        </w:rPr>
        <w:t>que la proporción de granos transportada por FFCC es muy baja, alrededor del 6%, y es utilizada por menos del 10% de las firmas.</w:t>
      </w:r>
    </w:p>
    <w:p w:rsidR="00495688" w:rsidRPr="00495688" w:rsidRDefault="00495688" w:rsidP="00495688">
      <w:pPr>
        <w:spacing w:line="240" w:lineRule="auto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El 55% de los </w:t>
      </w:r>
      <w:r w:rsidR="00657FD0">
        <w:rPr>
          <w:rFonts w:ascii="Tahoma" w:hAnsi="Tahoma" w:cs="Tahoma"/>
          <w:iCs/>
          <w:sz w:val="20"/>
          <w:szCs w:val="20"/>
        </w:rPr>
        <w:t xml:space="preserve">consultados </w:t>
      </w:r>
      <w:r w:rsidRPr="00495688">
        <w:rPr>
          <w:rFonts w:ascii="Tahoma" w:hAnsi="Tahoma" w:cs="Tahoma"/>
          <w:iCs/>
          <w:sz w:val="20"/>
          <w:szCs w:val="20"/>
        </w:rPr>
        <w:t>manifestó que realiza agricultu</w:t>
      </w:r>
      <w:r>
        <w:rPr>
          <w:rFonts w:ascii="Tahoma" w:hAnsi="Tahoma" w:cs="Tahoma"/>
          <w:iCs/>
          <w:sz w:val="20"/>
          <w:szCs w:val="20"/>
        </w:rPr>
        <w:t xml:space="preserve">ra propia por administración y </w:t>
      </w:r>
      <w:r w:rsidRPr="00495688">
        <w:rPr>
          <w:rFonts w:ascii="Tahoma" w:hAnsi="Tahoma" w:cs="Tahoma"/>
          <w:iCs/>
          <w:sz w:val="20"/>
          <w:szCs w:val="20"/>
        </w:rPr>
        <w:t xml:space="preserve">siembra </w:t>
      </w:r>
      <w:r w:rsidR="005B23E5">
        <w:rPr>
          <w:rFonts w:ascii="Tahoma" w:hAnsi="Tahoma" w:cs="Tahoma"/>
          <w:iCs/>
          <w:sz w:val="20"/>
          <w:szCs w:val="20"/>
        </w:rPr>
        <w:t xml:space="preserve">en </w:t>
      </w:r>
      <w:r w:rsidR="00535C58">
        <w:rPr>
          <w:rFonts w:ascii="Tahoma" w:hAnsi="Tahoma" w:cs="Tahoma"/>
          <w:iCs/>
          <w:sz w:val="20"/>
          <w:szCs w:val="20"/>
        </w:rPr>
        <w:t>aproximadamente</w:t>
      </w:r>
      <w:r w:rsidR="00580175">
        <w:rPr>
          <w:rFonts w:ascii="Tahoma" w:hAnsi="Tahoma" w:cs="Tahoma"/>
          <w:iCs/>
          <w:sz w:val="20"/>
          <w:szCs w:val="20"/>
        </w:rPr>
        <w:t xml:space="preserve"> 4 mil</w:t>
      </w:r>
      <w:r>
        <w:rPr>
          <w:rFonts w:ascii="Tahoma" w:hAnsi="Tahoma" w:cs="Tahoma"/>
          <w:iCs/>
          <w:sz w:val="20"/>
          <w:szCs w:val="20"/>
        </w:rPr>
        <w:t xml:space="preserve"> hectáreas,</w:t>
      </w:r>
      <w:r w:rsidR="0032172B">
        <w:rPr>
          <w:rFonts w:ascii="Tahoma" w:hAnsi="Tahoma" w:cs="Tahoma"/>
          <w:iCs/>
          <w:sz w:val="20"/>
          <w:szCs w:val="20"/>
        </w:rPr>
        <w:t xml:space="preserve"> lo que significa</w:t>
      </w:r>
      <w:r w:rsidRPr="00495688">
        <w:rPr>
          <w:rFonts w:ascii="Tahoma" w:hAnsi="Tahoma" w:cs="Tahoma"/>
          <w:iCs/>
          <w:sz w:val="20"/>
          <w:szCs w:val="20"/>
        </w:rPr>
        <w:t xml:space="preserve"> una </w:t>
      </w:r>
      <w:r>
        <w:rPr>
          <w:rFonts w:ascii="Tahoma" w:hAnsi="Tahoma" w:cs="Tahoma"/>
          <w:iCs/>
          <w:sz w:val="20"/>
          <w:szCs w:val="20"/>
        </w:rPr>
        <w:t>superfici</w:t>
      </w:r>
      <w:r w:rsidR="00C22C49">
        <w:rPr>
          <w:rFonts w:ascii="Tahoma" w:hAnsi="Tahoma" w:cs="Tahoma"/>
          <w:iCs/>
          <w:sz w:val="20"/>
          <w:szCs w:val="20"/>
        </w:rPr>
        <w:t xml:space="preserve">e total </w:t>
      </w:r>
      <w:r w:rsidRPr="00495688">
        <w:rPr>
          <w:rFonts w:ascii="Tahoma" w:hAnsi="Tahoma" w:cs="Tahoma"/>
          <w:iCs/>
          <w:sz w:val="20"/>
          <w:szCs w:val="20"/>
        </w:rPr>
        <w:t xml:space="preserve">de más de 1,8 millones de hectáreas. </w:t>
      </w:r>
    </w:p>
    <w:p w:rsidR="00440CC2" w:rsidRPr="00440CC2" w:rsidRDefault="00817844" w:rsidP="00440CC2">
      <w:pPr>
        <w:spacing w:line="240" w:lineRule="auto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También es importante destacar que c</w:t>
      </w:r>
      <w:r w:rsidR="00580175" w:rsidRPr="00817844">
        <w:rPr>
          <w:rFonts w:ascii="Tahoma" w:hAnsi="Tahoma" w:cs="Tahoma"/>
          <w:iCs/>
          <w:sz w:val="20"/>
          <w:szCs w:val="20"/>
        </w:rPr>
        <w:t xml:space="preserve">asi el </w:t>
      </w:r>
      <w:r w:rsidR="00C22C49">
        <w:rPr>
          <w:rFonts w:ascii="Tahoma" w:hAnsi="Tahoma" w:cs="Tahoma"/>
          <w:iCs/>
          <w:sz w:val="20"/>
          <w:szCs w:val="20"/>
        </w:rPr>
        <w:t xml:space="preserve">20% del volumen </w:t>
      </w:r>
      <w:r w:rsidR="00580175" w:rsidRPr="00817844">
        <w:rPr>
          <w:rFonts w:ascii="Tahoma" w:hAnsi="Tahoma" w:cs="Tahoma"/>
          <w:iCs/>
          <w:sz w:val="20"/>
          <w:szCs w:val="20"/>
        </w:rPr>
        <w:t xml:space="preserve">comercializado de granos por las empresas </w:t>
      </w:r>
      <w:r w:rsidR="00657FD0">
        <w:rPr>
          <w:rFonts w:ascii="Tahoma" w:hAnsi="Tahoma" w:cs="Tahoma"/>
          <w:iCs/>
          <w:sz w:val="20"/>
          <w:szCs w:val="20"/>
        </w:rPr>
        <w:t>consultadas</w:t>
      </w:r>
      <w:r w:rsidR="00657FD0" w:rsidRPr="00817844">
        <w:rPr>
          <w:rFonts w:ascii="Tahoma" w:hAnsi="Tahoma" w:cs="Tahoma"/>
          <w:iCs/>
          <w:sz w:val="20"/>
          <w:szCs w:val="20"/>
        </w:rPr>
        <w:t xml:space="preserve"> </w:t>
      </w:r>
      <w:r w:rsidR="00580175" w:rsidRPr="00817844">
        <w:rPr>
          <w:rFonts w:ascii="Tahoma" w:hAnsi="Tahoma" w:cs="Tahoma"/>
          <w:iCs/>
          <w:sz w:val="20"/>
          <w:szCs w:val="20"/>
        </w:rPr>
        <w:t>corresponde a producción propia.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="00C22C49">
        <w:rPr>
          <w:rFonts w:ascii="Tahoma" w:hAnsi="Tahoma" w:cs="Tahoma"/>
          <w:iCs/>
          <w:sz w:val="20"/>
          <w:szCs w:val="20"/>
        </w:rPr>
        <w:t xml:space="preserve">En el </w:t>
      </w:r>
      <w:r w:rsidR="00580175" w:rsidRPr="00817844">
        <w:rPr>
          <w:rFonts w:ascii="Tahoma" w:hAnsi="Tahoma" w:cs="Tahoma"/>
          <w:iCs/>
          <w:sz w:val="20"/>
          <w:szCs w:val="20"/>
        </w:rPr>
        <w:t xml:space="preserve">90% </w:t>
      </w:r>
      <w:r w:rsidR="00C22C49">
        <w:rPr>
          <w:rFonts w:ascii="Tahoma" w:hAnsi="Tahoma" w:cs="Tahoma"/>
          <w:iCs/>
          <w:sz w:val="20"/>
          <w:szCs w:val="20"/>
        </w:rPr>
        <w:t xml:space="preserve">de los casos, </w:t>
      </w:r>
      <w:r>
        <w:rPr>
          <w:rFonts w:ascii="Tahoma" w:hAnsi="Tahoma" w:cs="Tahoma"/>
          <w:iCs/>
          <w:sz w:val="20"/>
          <w:szCs w:val="20"/>
        </w:rPr>
        <w:t>dicha proporción</w:t>
      </w:r>
      <w:r w:rsidR="00580175" w:rsidRPr="00817844">
        <w:rPr>
          <w:rFonts w:ascii="Tahoma" w:hAnsi="Tahoma" w:cs="Tahoma"/>
          <w:iCs/>
          <w:sz w:val="20"/>
          <w:szCs w:val="20"/>
        </w:rPr>
        <w:t xml:space="preserve"> representa </w:t>
      </w:r>
      <w:r w:rsidR="00C22C49">
        <w:rPr>
          <w:rFonts w:ascii="Tahoma" w:hAnsi="Tahoma" w:cs="Tahoma"/>
          <w:iCs/>
          <w:sz w:val="20"/>
          <w:szCs w:val="20"/>
        </w:rPr>
        <w:t>menos del 40% de lo</w:t>
      </w:r>
      <w:r w:rsidR="00580175" w:rsidRPr="00817844">
        <w:rPr>
          <w:rFonts w:ascii="Tahoma" w:hAnsi="Tahoma" w:cs="Tahoma"/>
          <w:iCs/>
          <w:sz w:val="20"/>
          <w:szCs w:val="20"/>
        </w:rPr>
        <w:t xml:space="preserve"> comercializado</w:t>
      </w:r>
      <w:r>
        <w:rPr>
          <w:rFonts w:ascii="Tahoma" w:hAnsi="Tahoma" w:cs="Tahoma"/>
          <w:iCs/>
          <w:sz w:val="20"/>
          <w:szCs w:val="20"/>
        </w:rPr>
        <w:t xml:space="preserve">. </w:t>
      </w:r>
      <w:r w:rsidR="00440CC2">
        <w:rPr>
          <w:rFonts w:ascii="Tahoma" w:hAnsi="Tahoma" w:cs="Tahoma"/>
          <w:iCs/>
          <w:sz w:val="20"/>
          <w:szCs w:val="20"/>
        </w:rPr>
        <w:t>A su vez,</w:t>
      </w:r>
      <w:r w:rsidR="00440CC2" w:rsidRPr="00440CC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440CC2" w:rsidRPr="00440CC2">
        <w:rPr>
          <w:rFonts w:ascii="Tahoma" w:hAnsi="Tahoma" w:cs="Tahoma"/>
          <w:iCs/>
          <w:sz w:val="20"/>
          <w:szCs w:val="20"/>
        </w:rPr>
        <w:t xml:space="preserve">prácticamente el 20% de las operaciones primarias de granos </w:t>
      </w:r>
      <w:r w:rsidR="00440CC2">
        <w:rPr>
          <w:rFonts w:ascii="Tahoma" w:hAnsi="Tahoma" w:cs="Tahoma"/>
          <w:iCs/>
          <w:sz w:val="20"/>
          <w:szCs w:val="20"/>
        </w:rPr>
        <w:t>se</w:t>
      </w:r>
      <w:r w:rsidR="00440CC2" w:rsidRPr="00440CC2">
        <w:rPr>
          <w:rFonts w:ascii="Tahoma" w:hAnsi="Tahoma" w:cs="Tahoma"/>
          <w:iCs/>
          <w:sz w:val="20"/>
          <w:szCs w:val="20"/>
        </w:rPr>
        <w:t xml:space="preserve"> realizan en formato de canje por insumos.</w:t>
      </w:r>
    </w:p>
    <w:p w:rsidR="00D7463C" w:rsidRDefault="0032172B" w:rsidP="00274018">
      <w:pPr>
        <w:spacing w:line="240" w:lineRule="auto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El 13% de las </w:t>
      </w:r>
      <w:r w:rsidR="00274018" w:rsidRPr="00274018">
        <w:rPr>
          <w:rFonts w:ascii="Tahoma" w:hAnsi="Tahoma" w:cs="Tahoma"/>
          <w:iCs/>
          <w:sz w:val="20"/>
          <w:szCs w:val="20"/>
        </w:rPr>
        <w:t>acopiadoras tiene feedlot como actividad complementaria, el 9% hace alimentos balanceados, el 5% es industrial</w:t>
      </w:r>
      <w:r w:rsidR="00274018">
        <w:rPr>
          <w:rFonts w:ascii="Tahoma" w:hAnsi="Tahoma" w:cs="Tahoma"/>
          <w:iCs/>
          <w:sz w:val="20"/>
          <w:szCs w:val="20"/>
        </w:rPr>
        <w:t xml:space="preserve"> aceitero y el 2% es </w:t>
      </w:r>
      <w:r>
        <w:rPr>
          <w:rFonts w:ascii="Tahoma" w:hAnsi="Tahoma" w:cs="Tahoma"/>
          <w:iCs/>
          <w:sz w:val="20"/>
          <w:szCs w:val="20"/>
        </w:rPr>
        <w:t xml:space="preserve">industrial </w:t>
      </w:r>
      <w:r w:rsidR="00274018" w:rsidRPr="00274018">
        <w:rPr>
          <w:rFonts w:ascii="Tahoma" w:hAnsi="Tahoma" w:cs="Tahoma"/>
          <w:iCs/>
          <w:sz w:val="20"/>
          <w:szCs w:val="20"/>
        </w:rPr>
        <w:t>molinero.</w:t>
      </w:r>
    </w:p>
    <w:p w:rsidR="00D7463C" w:rsidRPr="003C2916" w:rsidRDefault="00274018" w:rsidP="003C2916">
      <w:pPr>
        <w:spacing w:line="240" w:lineRule="auto"/>
        <w:jc w:val="both"/>
        <w:rPr>
          <w:rFonts w:ascii="Tahoma" w:hAnsi="Tahoma" w:cs="Tahoma"/>
          <w:iCs/>
          <w:sz w:val="20"/>
          <w:szCs w:val="20"/>
        </w:rPr>
      </w:pPr>
      <w:r w:rsidRPr="00274018">
        <w:rPr>
          <w:rFonts w:ascii="Tahoma" w:hAnsi="Tahoma" w:cs="Tahoma"/>
          <w:iCs/>
          <w:sz w:val="20"/>
          <w:szCs w:val="20"/>
        </w:rPr>
        <w:t>La venta de insumos representa en promedio el 22% de la facturación</w:t>
      </w:r>
      <w:r w:rsidRPr="00274018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>de las empresas</w:t>
      </w:r>
      <w:r w:rsidRPr="00274018">
        <w:rPr>
          <w:rFonts w:ascii="Tahoma" w:hAnsi="Tahoma" w:cs="Tahoma"/>
          <w:iCs/>
          <w:sz w:val="20"/>
          <w:szCs w:val="20"/>
        </w:rPr>
        <w:t>, pero dicha proporción es muy variable</w:t>
      </w:r>
      <w:r w:rsidR="00C22C49">
        <w:rPr>
          <w:rFonts w:ascii="Tahoma" w:hAnsi="Tahoma" w:cs="Tahoma"/>
          <w:iCs/>
          <w:sz w:val="20"/>
          <w:szCs w:val="20"/>
        </w:rPr>
        <w:t xml:space="preserve"> de acuerdo a cada caso</w:t>
      </w:r>
      <w:r w:rsidRPr="00274018">
        <w:rPr>
          <w:rFonts w:ascii="Tahoma" w:hAnsi="Tahoma" w:cs="Tahoma"/>
          <w:iCs/>
          <w:sz w:val="20"/>
          <w:szCs w:val="20"/>
        </w:rPr>
        <w:t xml:space="preserve">. </w:t>
      </w:r>
      <w:r>
        <w:rPr>
          <w:rFonts w:ascii="Tahoma" w:hAnsi="Tahoma" w:cs="Tahoma"/>
          <w:iCs/>
          <w:sz w:val="20"/>
          <w:szCs w:val="20"/>
        </w:rPr>
        <w:t>P</w:t>
      </w:r>
      <w:r w:rsidR="00C22C49">
        <w:rPr>
          <w:rFonts w:ascii="Tahoma" w:hAnsi="Tahoma" w:cs="Tahoma"/>
          <w:iCs/>
          <w:sz w:val="20"/>
          <w:szCs w:val="20"/>
        </w:rPr>
        <w:t>or ejemplo, p</w:t>
      </w:r>
      <w:r>
        <w:rPr>
          <w:rFonts w:ascii="Tahoma" w:hAnsi="Tahoma" w:cs="Tahoma"/>
          <w:iCs/>
          <w:sz w:val="20"/>
          <w:szCs w:val="20"/>
        </w:rPr>
        <w:t>ara casi el 40%</w:t>
      </w:r>
      <w:r w:rsidR="0032172B">
        <w:rPr>
          <w:rFonts w:ascii="Tahoma" w:hAnsi="Tahoma" w:cs="Tahoma"/>
          <w:iCs/>
          <w:sz w:val="20"/>
          <w:szCs w:val="20"/>
        </w:rPr>
        <w:t xml:space="preserve"> representa no más del 10% de su</w:t>
      </w:r>
      <w:r w:rsidRPr="00274018">
        <w:rPr>
          <w:rFonts w:ascii="Tahoma" w:hAnsi="Tahoma" w:cs="Tahoma"/>
          <w:iCs/>
          <w:sz w:val="20"/>
          <w:szCs w:val="20"/>
        </w:rPr>
        <w:t xml:space="preserve"> factu</w:t>
      </w:r>
      <w:r w:rsidR="0032172B">
        <w:rPr>
          <w:rFonts w:ascii="Tahoma" w:hAnsi="Tahoma" w:cs="Tahoma"/>
          <w:iCs/>
          <w:sz w:val="20"/>
          <w:szCs w:val="20"/>
        </w:rPr>
        <w:t>ración, y para el 9% significa</w:t>
      </w:r>
      <w:r w:rsidRPr="00274018">
        <w:rPr>
          <w:rFonts w:ascii="Tahoma" w:hAnsi="Tahoma" w:cs="Tahoma"/>
          <w:iCs/>
          <w:sz w:val="20"/>
          <w:szCs w:val="20"/>
        </w:rPr>
        <w:t xml:space="preserve"> más del 50%</w:t>
      </w:r>
      <w:r>
        <w:rPr>
          <w:rFonts w:ascii="Tahoma" w:hAnsi="Tahoma" w:cs="Tahoma"/>
          <w:iCs/>
          <w:sz w:val="20"/>
          <w:szCs w:val="20"/>
        </w:rPr>
        <w:t xml:space="preserve">. </w:t>
      </w:r>
      <w:r w:rsidR="003C2916" w:rsidRPr="003C2916">
        <w:rPr>
          <w:rFonts w:ascii="Tahoma" w:hAnsi="Tahoma" w:cs="Tahoma"/>
          <w:iCs/>
          <w:sz w:val="20"/>
          <w:szCs w:val="20"/>
        </w:rPr>
        <w:t xml:space="preserve">Puede estimarse que </w:t>
      </w:r>
      <w:r w:rsidR="003C2916">
        <w:rPr>
          <w:rFonts w:ascii="Tahoma" w:hAnsi="Tahoma" w:cs="Tahoma"/>
          <w:iCs/>
          <w:sz w:val="20"/>
          <w:szCs w:val="20"/>
        </w:rPr>
        <w:t xml:space="preserve">el sector </w:t>
      </w:r>
      <w:r w:rsidR="003C2916" w:rsidRPr="003C2916">
        <w:rPr>
          <w:rFonts w:ascii="Tahoma" w:hAnsi="Tahoma" w:cs="Tahoma"/>
          <w:iCs/>
          <w:sz w:val="20"/>
          <w:szCs w:val="20"/>
        </w:rPr>
        <w:t>participa en má</w:t>
      </w:r>
      <w:r w:rsidR="00C22C49">
        <w:rPr>
          <w:rFonts w:ascii="Tahoma" w:hAnsi="Tahoma" w:cs="Tahoma"/>
          <w:iCs/>
          <w:sz w:val="20"/>
          <w:szCs w:val="20"/>
        </w:rPr>
        <w:t>s del 40% d</w:t>
      </w:r>
      <w:r w:rsidR="003C2916" w:rsidRPr="003C2916">
        <w:rPr>
          <w:rFonts w:ascii="Tahoma" w:hAnsi="Tahoma" w:cs="Tahoma"/>
          <w:iCs/>
          <w:sz w:val="20"/>
          <w:szCs w:val="20"/>
        </w:rPr>
        <w:t xml:space="preserve">el mercado de fertilizantes, llegando al 25% en los otros insumos agrícolas. </w:t>
      </w:r>
    </w:p>
    <w:p w:rsidR="003C2916" w:rsidRPr="00D01E33" w:rsidRDefault="005B23E5" w:rsidP="00274018">
      <w:pPr>
        <w:spacing w:line="240" w:lineRule="auto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Sobre</w:t>
      </w:r>
      <w:r w:rsidR="003C2916" w:rsidRPr="003C2916">
        <w:rPr>
          <w:rFonts w:ascii="Tahoma" w:hAnsi="Tahoma" w:cs="Tahoma"/>
          <w:iCs/>
          <w:sz w:val="20"/>
          <w:szCs w:val="20"/>
        </w:rPr>
        <w:t xml:space="preserve"> el futuro de la actividad, el </w:t>
      </w:r>
      <w:r w:rsidR="003C2916" w:rsidRPr="003C2916">
        <w:rPr>
          <w:rFonts w:ascii="Tahoma" w:hAnsi="Tahoma" w:cs="Tahoma"/>
          <w:bCs/>
          <w:iCs/>
          <w:sz w:val="20"/>
          <w:szCs w:val="20"/>
        </w:rPr>
        <w:t>40% cons</w:t>
      </w:r>
      <w:r w:rsidR="003C2916">
        <w:rPr>
          <w:rFonts w:ascii="Tahoma" w:hAnsi="Tahoma" w:cs="Tahoma"/>
          <w:bCs/>
          <w:iCs/>
          <w:sz w:val="20"/>
          <w:szCs w:val="20"/>
        </w:rPr>
        <w:t xml:space="preserve">idera que el número de </w:t>
      </w:r>
      <w:r w:rsidR="003C2916" w:rsidRPr="003C2916">
        <w:rPr>
          <w:rFonts w:ascii="Tahoma" w:hAnsi="Tahoma" w:cs="Tahoma"/>
          <w:bCs/>
          <w:iCs/>
          <w:sz w:val="20"/>
          <w:szCs w:val="20"/>
        </w:rPr>
        <w:t>acopiadoras disminuirá entre un 10 y un 20%</w:t>
      </w:r>
      <w:r w:rsidR="003C2916" w:rsidRPr="003C2916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r w:rsidR="003C2916">
        <w:rPr>
          <w:rFonts w:ascii="Tahoma" w:hAnsi="Tahoma" w:cs="Tahoma"/>
          <w:iCs/>
          <w:sz w:val="20"/>
          <w:szCs w:val="20"/>
        </w:rPr>
        <w:t xml:space="preserve">en los próximos 5 años. En tanto, </w:t>
      </w:r>
      <w:r w:rsidR="003C2916" w:rsidRPr="003C2916">
        <w:rPr>
          <w:rFonts w:ascii="Tahoma" w:hAnsi="Tahoma" w:cs="Tahoma"/>
          <w:iCs/>
          <w:sz w:val="20"/>
          <w:szCs w:val="20"/>
        </w:rPr>
        <w:t xml:space="preserve">el 52% cree que se mantendrá igual y sólo un 8% imagina que aumentarán. Sin embargo, </w:t>
      </w:r>
      <w:r w:rsidR="003C2916" w:rsidRPr="003C2916">
        <w:rPr>
          <w:rFonts w:ascii="Tahoma" w:hAnsi="Tahoma" w:cs="Tahoma"/>
          <w:bCs/>
          <w:iCs/>
          <w:sz w:val="20"/>
          <w:szCs w:val="20"/>
        </w:rPr>
        <w:t>el 67% considera que la capacidad instalada de su empresa se mantendrá igual</w:t>
      </w:r>
      <w:r w:rsidR="003C2916">
        <w:rPr>
          <w:rFonts w:ascii="Tahoma" w:hAnsi="Tahoma" w:cs="Tahoma"/>
          <w:bCs/>
          <w:iCs/>
          <w:sz w:val="20"/>
          <w:szCs w:val="20"/>
        </w:rPr>
        <w:t>,</w:t>
      </w:r>
      <w:r w:rsidR="003C2916" w:rsidRPr="003C2916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3C2916" w:rsidRPr="003C2916">
        <w:rPr>
          <w:rFonts w:ascii="Tahoma" w:hAnsi="Tahoma" w:cs="Tahoma"/>
          <w:iCs/>
          <w:sz w:val="20"/>
          <w:szCs w:val="20"/>
        </w:rPr>
        <w:t>mientras que el 30% cree que aumentará en distintas proporciones.</w:t>
      </w:r>
    </w:p>
    <w:p w:rsidR="007D4FC4" w:rsidRPr="005746BB" w:rsidRDefault="00A67522" w:rsidP="005F64C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5746BB">
        <w:rPr>
          <w:rFonts w:ascii="Tahoma" w:hAnsi="Tahoma" w:cs="Tahoma"/>
          <w:sz w:val="20"/>
          <w:szCs w:val="20"/>
        </w:rPr>
        <w:t>M</w:t>
      </w:r>
      <w:bookmarkStart w:id="0" w:name="_GoBack"/>
      <w:bookmarkEnd w:id="0"/>
      <w:r w:rsidRPr="005746BB">
        <w:rPr>
          <w:rFonts w:ascii="Tahoma" w:hAnsi="Tahoma" w:cs="Tahoma"/>
          <w:sz w:val="20"/>
          <w:szCs w:val="20"/>
        </w:rPr>
        <w:t xml:space="preserve">ás </w:t>
      </w:r>
      <w:proofErr w:type="spellStart"/>
      <w:r w:rsidRPr="005746BB">
        <w:rPr>
          <w:rFonts w:ascii="Tahoma" w:hAnsi="Tahoma" w:cs="Tahoma"/>
          <w:sz w:val="20"/>
          <w:szCs w:val="20"/>
        </w:rPr>
        <w:t>info</w:t>
      </w:r>
      <w:proofErr w:type="spellEnd"/>
      <w:r w:rsidRPr="005746BB">
        <w:rPr>
          <w:rFonts w:ascii="Tahoma" w:hAnsi="Tahoma" w:cs="Tahoma"/>
          <w:sz w:val="20"/>
          <w:szCs w:val="20"/>
        </w:rPr>
        <w:t xml:space="preserve"> en </w:t>
      </w:r>
      <w:hyperlink r:id="rId9" w:history="1">
        <w:r w:rsidRPr="005746BB">
          <w:rPr>
            <w:rStyle w:val="Hipervnculo"/>
            <w:rFonts w:ascii="Tahoma" w:hAnsi="Tahoma" w:cs="Tahoma"/>
            <w:sz w:val="20"/>
            <w:szCs w:val="20"/>
          </w:rPr>
          <w:t>www.atodotrigo.com.ar</w:t>
        </w:r>
      </w:hyperlink>
      <w:r w:rsidRPr="005746BB">
        <w:rPr>
          <w:rFonts w:ascii="Tahoma" w:hAnsi="Tahoma" w:cs="Tahoma"/>
          <w:sz w:val="20"/>
          <w:szCs w:val="20"/>
        </w:rPr>
        <w:t xml:space="preserve"> | T. @acopiadores | F. @</w:t>
      </w:r>
      <w:proofErr w:type="spellStart"/>
      <w:r w:rsidRPr="005746BB">
        <w:rPr>
          <w:rFonts w:ascii="Tahoma" w:hAnsi="Tahoma" w:cs="Tahoma"/>
          <w:sz w:val="20"/>
          <w:szCs w:val="20"/>
        </w:rPr>
        <w:t>atodo.trigo</w:t>
      </w:r>
      <w:proofErr w:type="spellEnd"/>
      <w:r w:rsidRPr="005746BB">
        <w:rPr>
          <w:rFonts w:ascii="Tahoma" w:hAnsi="Tahoma" w:cs="Tahoma"/>
          <w:sz w:val="20"/>
          <w:szCs w:val="20"/>
        </w:rPr>
        <w:t>/</w:t>
      </w:r>
    </w:p>
    <w:sectPr w:rsidR="007D4FC4" w:rsidRPr="005746BB" w:rsidSect="009B23BE">
      <w:headerReference w:type="default" r:id="rId10"/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3E" w:rsidRDefault="002C703E" w:rsidP="002409D2">
      <w:pPr>
        <w:spacing w:after="0" w:line="240" w:lineRule="auto"/>
      </w:pPr>
      <w:r>
        <w:separator/>
      </w:r>
    </w:p>
  </w:endnote>
  <w:endnote w:type="continuationSeparator" w:id="0">
    <w:p w:rsidR="002C703E" w:rsidRDefault="002C703E" w:rsidP="0024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D2" w:rsidRPr="006D1AB3" w:rsidRDefault="002409D2" w:rsidP="002409D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Prensa: SAVIA Comunicación </w:t>
    </w:r>
  </w:p>
  <w:p w:rsidR="002409D2" w:rsidRPr="006D1AB3" w:rsidRDefault="002409D2" w:rsidP="002409D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Tel. 011 4545 7734 </w:t>
    </w:r>
    <w:r>
      <w:rPr>
        <w:rFonts w:ascii="Tahoma" w:hAnsi="Tahoma" w:cs="Tahoma"/>
        <w:noProof/>
        <w:color w:val="000000"/>
        <w:sz w:val="14"/>
        <w:szCs w:val="14"/>
        <w:lang w:val="es-MX"/>
      </w:rPr>
      <w:t xml:space="preserve">– 011 15 </w:t>
    </w:r>
    <w:r w:rsidR="001C6FE7">
      <w:rPr>
        <w:rFonts w:ascii="Tahoma" w:hAnsi="Tahoma" w:cs="Tahoma"/>
        <w:noProof/>
        <w:color w:val="000000"/>
        <w:sz w:val="14"/>
        <w:szCs w:val="14"/>
        <w:lang w:val="es-MX"/>
      </w:rPr>
      <w:t>6967 2255</w: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prensa@saviacomunicacion.com.ar</w:t>
      </w:r>
    </w:hyperlink>
  </w:p>
  <w:p w:rsidR="002409D2" w:rsidRPr="006D1AB3" w:rsidRDefault="002C703E" w:rsidP="002409D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hyperlink r:id="rId2" w:history="1">
      <w:r w:rsidR="002409D2"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www.saviacomunicacion.com.ar</w:t>
      </w:r>
    </w:hyperlink>
    <w:r w:rsidR="002409D2"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  </w:t>
    </w:r>
  </w:p>
  <w:p w:rsidR="002409D2" w:rsidRPr="002409D2" w:rsidRDefault="002409D2" w:rsidP="002409D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r>
      <w:rPr>
        <w:rFonts w:ascii="Tahoma" w:hAnsi="Tahoma" w:cs="Tahoma"/>
        <w:noProof/>
        <w:color w:val="000000"/>
        <w:sz w:val="14"/>
        <w:szCs w:val="14"/>
        <w:vertAlign w:val="subscript"/>
        <w:lang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4"/>
        <w:lang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3E" w:rsidRDefault="002C703E" w:rsidP="002409D2">
      <w:pPr>
        <w:spacing w:after="0" w:line="240" w:lineRule="auto"/>
      </w:pPr>
      <w:r>
        <w:separator/>
      </w:r>
    </w:p>
  </w:footnote>
  <w:footnote w:type="continuationSeparator" w:id="0">
    <w:p w:rsidR="002C703E" w:rsidRDefault="002C703E" w:rsidP="0024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D2" w:rsidRDefault="008D6A6C" w:rsidP="003970F3">
    <w:pPr>
      <w:pStyle w:val="Encabezado"/>
      <w:jc w:val="center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2352675</wp:posOffset>
          </wp:positionH>
          <wp:positionV relativeFrom="paragraph">
            <wp:posOffset>-415925</wp:posOffset>
          </wp:positionV>
          <wp:extent cx="974725" cy="986790"/>
          <wp:effectExtent l="0" t="0" r="0" b="0"/>
          <wp:wrapTopAndBottom/>
          <wp:docPr id="1" name="Imagen 1" descr="Feder_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eder_ch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70F3" w:rsidRDefault="003970F3" w:rsidP="003970F3">
    <w:pPr>
      <w:pStyle w:val="Encabezado"/>
      <w:jc w:val="center"/>
    </w:pPr>
  </w:p>
  <w:p w:rsidR="003970F3" w:rsidRDefault="003970F3" w:rsidP="003970F3">
    <w:pPr>
      <w:pStyle w:val="Encabezado"/>
      <w:jc w:val="center"/>
    </w:pPr>
    <w:r>
      <w:rPr>
        <w:b/>
        <w:noProof/>
        <w:u w:val="single"/>
        <w:lang w:eastAsia="es-AR"/>
      </w:rPr>
      <w:drawing>
        <wp:inline distT="0" distB="0" distL="0" distR="0">
          <wp:extent cx="2180674" cy="771525"/>
          <wp:effectExtent l="0" t="0" r="0" b="0"/>
          <wp:docPr id="4" name="Imagen 4" descr="C:\Users\Usuario\AppData\Local\Microsoft\Windows\INetCache\Content.Word\PPT A TODO TRIGO 2016-01 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PPT A TODO TRIGO 2016-01 portad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33" t="3251" r="25682" b="73275"/>
                  <a:stretch/>
                </pic:blipFill>
                <pic:spPr bwMode="auto">
                  <a:xfrm>
                    <a:off x="0" y="0"/>
                    <a:ext cx="2180117" cy="7713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3D6A"/>
    <w:multiLevelType w:val="hybridMultilevel"/>
    <w:tmpl w:val="99967DD4"/>
    <w:lvl w:ilvl="0" w:tplc="B518F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00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0B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C6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743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A7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7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6D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540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084600"/>
    <w:multiLevelType w:val="hybridMultilevel"/>
    <w:tmpl w:val="408A48F4"/>
    <w:lvl w:ilvl="0" w:tplc="09429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65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8D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E0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A8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3AE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03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27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C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7F678B7"/>
    <w:multiLevelType w:val="hybridMultilevel"/>
    <w:tmpl w:val="B40CA014"/>
    <w:lvl w:ilvl="0" w:tplc="ACA60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62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C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0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CC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44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AE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1A0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E9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8E87C6C"/>
    <w:multiLevelType w:val="hybridMultilevel"/>
    <w:tmpl w:val="0478E3D4"/>
    <w:lvl w:ilvl="0" w:tplc="CBA03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5E7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01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2B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C1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0CD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09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06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83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6D00017"/>
    <w:multiLevelType w:val="hybridMultilevel"/>
    <w:tmpl w:val="2A0E9FEC"/>
    <w:lvl w:ilvl="0" w:tplc="8F901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43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B0D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C6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C2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3A4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8F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A0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69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0EA"/>
    <w:rsid w:val="000010EA"/>
    <w:rsid w:val="000338B0"/>
    <w:rsid w:val="00044FFF"/>
    <w:rsid w:val="00045BF4"/>
    <w:rsid w:val="00060508"/>
    <w:rsid w:val="0009420D"/>
    <w:rsid w:val="000949CD"/>
    <w:rsid w:val="000B4E7F"/>
    <w:rsid w:val="000C3296"/>
    <w:rsid w:val="000C500C"/>
    <w:rsid w:val="000D7C4B"/>
    <w:rsid w:val="0011537E"/>
    <w:rsid w:val="00115AAE"/>
    <w:rsid w:val="001222C1"/>
    <w:rsid w:val="0013179D"/>
    <w:rsid w:val="001568A9"/>
    <w:rsid w:val="001802D4"/>
    <w:rsid w:val="001A6E0C"/>
    <w:rsid w:val="001C6FE7"/>
    <w:rsid w:val="00216842"/>
    <w:rsid w:val="002409D2"/>
    <w:rsid w:val="00250681"/>
    <w:rsid w:val="00274018"/>
    <w:rsid w:val="002A0D5A"/>
    <w:rsid w:val="002A4B7C"/>
    <w:rsid w:val="002C703E"/>
    <w:rsid w:val="002D0945"/>
    <w:rsid w:val="002E5768"/>
    <w:rsid w:val="002E6F4C"/>
    <w:rsid w:val="00307D99"/>
    <w:rsid w:val="0032172B"/>
    <w:rsid w:val="00341625"/>
    <w:rsid w:val="00364620"/>
    <w:rsid w:val="00395ABC"/>
    <w:rsid w:val="003970F3"/>
    <w:rsid w:val="003A1F75"/>
    <w:rsid w:val="003A7D9B"/>
    <w:rsid w:val="003B3001"/>
    <w:rsid w:val="003C2916"/>
    <w:rsid w:val="003E1F1B"/>
    <w:rsid w:val="003F5960"/>
    <w:rsid w:val="00410DB5"/>
    <w:rsid w:val="00425FC3"/>
    <w:rsid w:val="00440CC2"/>
    <w:rsid w:val="00453A6E"/>
    <w:rsid w:val="0046623B"/>
    <w:rsid w:val="00470966"/>
    <w:rsid w:val="00484231"/>
    <w:rsid w:val="00495688"/>
    <w:rsid w:val="004C1D30"/>
    <w:rsid w:val="004E54C8"/>
    <w:rsid w:val="004F54DB"/>
    <w:rsid w:val="00515791"/>
    <w:rsid w:val="00535C58"/>
    <w:rsid w:val="00571488"/>
    <w:rsid w:val="005746BB"/>
    <w:rsid w:val="00580072"/>
    <w:rsid w:val="00580175"/>
    <w:rsid w:val="005A6C6A"/>
    <w:rsid w:val="005B1BA7"/>
    <w:rsid w:val="005B23E5"/>
    <w:rsid w:val="005B353E"/>
    <w:rsid w:val="005E1EA8"/>
    <w:rsid w:val="005F64CA"/>
    <w:rsid w:val="00601D43"/>
    <w:rsid w:val="00635D66"/>
    <w:rsid w:val="006418FA"/>
    <w:rsid w:val="00641E66"/>
    <w:rsid w:val="00657FD0"/>
    <w:rsid w:val="00675323"/>
    <w:rsid w:val="00686E8C"/>
    <w:rsid w:val="00695A5B"/>
    <w:rsid w:val="006A0827"/>
    <w:rsid w:val="006C5C82"/>
    <w:rsid w:val="006D3A6C"/>
    <w:rsid w:val="006F08EA"/>
    <w:rsid w:val="007366AA"/>
    <w:rsid w:val="00742BE3"/>
    <w:rsid w:val="0074536A"/>
    <w:rsid w:val="00747DB5"/>
    <w:rsid w:val="00754883"/>
    <w:rsid w:val="007572DD"/>
    <w:rsid w:val="00781B25"/>
    <w:rsid w:val="007915A5"/>
    <w:rsid w:val="007A4D45"/>
    <w:rsid w:val="007C2CA7"/>
    <w:rsid w:val="007D1E27"/>
    <w:rsid w:val="007D4FC4"/>
    <w:rsid w:val="007E0BE6"/>
    <w:rsid w:val="007E7D63"/>
    <w:rsid w:val="0080218A"/>
    <w:rsid w:val="00803A44"/>
    <w:rsid w:val="0081672F"/>
    <w:rsid w:val="00817844"/>
    <w:rsid w:val="00854A45"/>
    <w:rsid w:val="00875C7E"/>
    <w:rsid w:val="0089390A"/>
    <w:rsid w:val="008B3999"/>
    <w:rsid w:val="008C2340"/>
    <w:rsid w:val="008D211E"/>
    <w:rsid w:val="008D4141"/>
    <w:rsid w:val="008D6A6C"/>
    <w:rsid w:val="00900430"/>
    <w:rsid w:val="00901CCA"/>
    <w:rsid w:val="00932157"/>
    <w:rsid w:val="00951BF3"/>
    <w:rsid w:val="00954DFC"/>
    <w:rsid w:val="009A54BD"/>
    <w:rsid w:val="009B23BE"/>
    <w:rsid w:val="009B2AF6"/>
    <w:rsid w:val="009B3FD6"/>
    <w:rsid w:val="009C25AB"/>
    <w:rsid w:val="009C5BAA"/>
    <w:rsid w:val="009D11B0"/>
    <w:rsid w:val="00A141D8"/>
    <w:rsid w:val="00A168EE"/>
    <w:rsid w:val="00A31DF7"/>
    <w:rsid w:val="00A41EB6"/>
    <w:rsid w:val="00A67522"/>
    <w:rsid w:val="00AD0966"/>
    <w:rsid w:val="00B200A4"/>
    <w:rsid w:val="00B434C3"/>
    <w:rsid w:val="00B47494"/>
    <w:rsid w:val="00B60429"/>
    <w:rsid w:val="00B65FDB"/>
    <w:rsid w:val="00BA6086"/>
    <w:rsid w:val="00BD73D4"/>
    <w:rsid w:val="00BF4706"/>
    <w:rsid w:val="00C01AD7"/>
    <w:rsid w:val="00C22245"/>
    <w:rsid w:val="00C22C49"/>
    <w:rsid w:val="00C75396"/>
    <w:rsid w:val="00CB7BE9"/>
    <w:rsid w:val="00D01E33"/>
    <w:rsid w:val="00D06AD4"/>
    <w:rsid w:val="00D12FD1"/>
    <w:rsid w:val="00D16FFE"/>
    <w:rsid w:val="00D2394F"/>
    <w:rsid w:val="00D35C8D"/>
    <w:rsid w:val="00D3791A"/>
    <w:rsid w:val="00D7463C"/>
    <w:rsid w:val="00D901B2"/>
    <w:rsid w:val="00D91EE1"/>
    <w:rsid w:val="00D92E59"/>
    <w:rsid w:val="00DD53E7"/>
    <w:rsid w:val="00DE4E37"/>
    <w:rsid w:val="00E001A1"/>
    <w:rsid w:val="00E025ED"/>
    <w:rsid w:val="00E07FA0"/>
    <w:rsid w:val="00E366CC"/>
    <w:rsid w:val="00E845D5"/>
    <w:rsid w:val="00EC42C6"/>
    <w:rsid w:val="00EF01E6"/>
    <w:rsid w:val="00EF4B7C"/>
    <w:rsid w:val="00F24952"/>
    <w:rsid w:val="00F26602"/>
    <w:rsid w:val="00F45679"/>
    <w:rsid w:val="00F47990"/>
    <w:rsid w:val="00F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9D2"/>
  </w:style>
  <w:style w:type="paragraph" w:styleId="Piedepgina">
    <w:name w:val="footer"/>
    <w:basedOn w:val="Normal"/>
    <w:link w:val="PiedepginaCar"/>
    <w:uiPriority w:val="99"/>
    <w:unhideWhenUsed/>
    <w:rsid w:val="002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9D2"/>
  </w:style>
  <w:style w:type="paragraph" w:styleId="Textodeglobo">
    <w:name w:val="Balloon Text"/>
    <w:basedOn w:val="Normal"/>
    <w:link w:val="TextodegloboCar"/>
    <w:uiPriority w:val="99"/>
    <w:semiHidden/>
    <w:unhideWhenUsed/>
    <w:rsid w:val="0024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9D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F54D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75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8337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981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88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8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4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9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6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1367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971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0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todotrigo.com.a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1ECA0-E144-4161-A820-B3D1025C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ACOPIADORES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Usuario</cp:lastModifiedBy>
  <cp:revision>30</cp:revision>
  <cp:lastPrinted>2018-01-17T16:04:00Z</cp:lastPrinted>
  <dcterms:created xsi:type="dcterms:W3CDTF">2018-05-02T18:55:00Z</dcterms:created>
  <dcterms:modified xsi:type="dcterms:W3CDTF">2018-05-10T02:36:00Z</dcterms:modified>
</cp:coreProperties>
</file>