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D8" w:rsidRDefault="00CC65D8" w:rsidP="00391DCB">
      <w:pPr>
        <w:spacing w:line="240" w:lineRule="auto"/>
        <w:jc w:val="both"/>
        <w:rPr>
          <w:rFonts w:ascii="Tahoma" w:hAnsi="Tahoma" w:cs="Tahoma"/>
          <w:b/>
          <w:sz w:val="20"/>
          <w:szCs w:val="32"/>
        </w:rPr>
      </w:pPr>
    </w:p>
    <w:p w:rsidR="00AD277B" w:rsidRPr="00AD277B" w:rsidRDefault="00364620" w:rsidP="00391DCB">
      <w:pPr>
        <w:spacing w:line="240" w:lineRule="auto"/>
        <w:jc w:val="both"/>
        <w:rPr>
          <w:rFonts w:ascii="Tahoma" w:hAnsi="Tahoma" w:cs="Tahoma"/>
          <w:b/>
          <w:sz w:val="20"/>
          <w:szCs w:val="32"/>
        </w:rPr>
      </w:pPr>
      <w:r w:rsidRPr="00AD277B">
        <w:rPr>
          <w:rFonts w:ascii="Tahoma" w:hAnsi="Tahoma" w:cs="Tahoma"/>
          <w:b/>
          <w:sz w:val="20"/>
          <w:szCs w:val="32"/>
        </w:rPr>
        <w:t xml:space="preserve">A </w:t>
      </w:r>
      <w:r w:rsidR="00AD277B" w:rsidRPr="00AD277B">
        <w:rPr>
          <w:rFonts w:ascii="Tahoma" w:hAnsi="Tahoma" w:cs="Tahoma"/>
          <w:b/>
          <w:sz w:val="20"/>
          <w:szCs w:val="32"/>
        </w:rPr>
        <w:t>T</w:t>
      </w:r>
      <w:r w:rsidRPr="00AD277B">
        <w:rPr>
          <w:rFonts w:ascii="Tahoma" w:hAnsi="Tahoma" w:cs="Tahoma"/>
          <w:b/>
          <w:sz w:val="20"/>
          <w:szCs w:val="32"/>
        </w:rPr>
        <w:t xml:space="preserve">odo </w:t>
      </w:r>
      <w:r w:rsidR="00AD277B" w:rsidRPr="00AD277B">
        <w:rPr>
          <w:rFonts w:ascii="Tahoma" w:hAnsi="Tahoma" w:cs="Tahoma"/>
          <w:b/>
          <w:sz w:val="20"/>
          <w:szCs w:val="32"/>
        </w:rPr>
        <w:t>T</w:t>
      </w:r>
      <w:r w:rsidRPr="00AD277B">
        <w:rPr>
          <w:rFonts w:ascii="Tahoma" w:hAnsi="Tahoma" w:cs="Tahoma"/>
          <w:b/>
          <w:sz w:val="20"/>
          <w:szCs w:val="32"/>
        </w:rPr>
        <w:t>ri</w:t>
      </w:r>
      <w:r w:rsidR="00AD277B" w:rsidRPr="00AD277B">
        <w:rPr>
          <w:rFonts w:ascii="Tahoma" w:hAnsi="Tahoma" w:cs="Tahoma"/>
          <w:b/>
          <w:sz w:val="20"/>
          <w:szCs w:val="32"/>
        </w:rPr>
        <w:t>go 2018</w:t>
      </w:r>
    </w:p>
    <w:p w:rsidR="008138B8" w:rsidRPr="008138B8" w:rsidRDefault="000A4810" w:rsidP="0058226A">
      <w:pPr>
        <w:spacing w:line="240" w:lineRule="auto"/>
        <w:jc w:val="both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 xml:space="preserve">Cultivos de invierno, una paleta </w:t>
      </w:r>
      <w:r w:rsidR="0058226A">
        <w:rPr>
          <w:rFonts w:ascii="Tahoma" w:hAnsi="Tahoma" w:cs="Tahoma"/>
          <w:b/>
          <w:sz w:val="32"/>
          <w:szCs w:val="32"/>
        </w:rPr>
        <w:t>de posibilidades que contribuye al sistema productivo</w:t>
      </w:r>
    </w:p>
    <w:p w:rsidR="00556EE4" w:rsidRDefault="00D309A9" w:rsidP="008138B8">
      <w:pPr>
        <w:spacing w:line="240" w:lineRule="auto"/>
        <w:jc w:val="both"/>
        <w:rPr>
          <w:rFonts w:ascii="Tahoma" w:hAnsi="Tahoma" w:cs="Tahoma"/>
          <w:i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>E</w:t>
      </w:r>
      <w:r w:rsidR="00995F32">
        <w:rPr>
          <w:rFonts w:ascii="Tahoma" w:hAnsi="Tahoma" w:cs="Tahoma"/>
          <w:i/>
          <w:sz w:val="24"/>
          <w:szCs w:val="24"/>
        </w:rPr>
        <w:t>n “A Todo Trigo” se realizó un repaso por los llamados cultivos de cobertura, que contribuyen a mejorar el ecosistema y al armado del sistema productivo.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“Hay que celebrar que hayamos salida de la soja como única alternativa en todo el país. Hoy tenemos la posibilidad de producir distintos tipos de trigo, cebadas forrajeras o cervecera, e incluso apostar a la ganadería”, sintetizó Fidel Cortese. El consultor fue orador de una de las charlas de “A Todo Trigo”, donde se realizó un repaso por los diferentes cultivos de cobertura invernales y los beneficios que traen aparejados para recuperar la capacidad productiva de los campos.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Rastrojo, materia orgánica, control de malezas, descompactación, son muchos los aport</w:t>
      </w:r>
      <w:r w:rsidR="00297BB2">
        <w:rPr>
          <w:rFonts w:ascii="Tahoma" w:hAnsi="Tahoma" w:cs="Tahoma"/>
          <w:sz w:val="20"/>
          <w:szCs w:val="20"/>
        </w:rPr>
        <w:t xml:space="preserve">es de los cultivos de invierno </w:t>
      </w:r>
      <w:r w:rsidRPr="000A4810">
        <w:rPr>
          <w:rFonts w:ascii="Tahoma" w:hAnsi="Tahoma" w:cs="Tahoma"/>
          <w:sz w:val="20"/>
          <w:szCs w:val="20"/>
        </w:rPr>
        <w:t>que cumplen un rol fundamental para mantener la calidad del ambiente en el tiempo y otorgan sustentabilidad al sistema. “Son una herramienta que funciona y hay que animarse a usarla”, acotó Guillermo Peralta, del Conicet, que focalizó su exposición sobre los cambios físicos y químicos en el suelo asociados a este tipo de cultivos.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“Favorece mucho a la estructuración de los suelos. Primero, por la generación directa de poros, luego posibilita la liberación de carbono subterráneo y materia orgánica activa, y brinda un efecto extra que es la protección a través de la hidrofobisidad”, explicó Peralta. El investigador añadió también que los cultivos de cobertura benefician la actividad microbiana, disminuye las pérdidas de nitrógeno y pueden estratificar nutrientes poco móviles como f</w:t>
      </w:r>
      <w:r w:rsidR="00297BB2">
        <w:rPr>
          <w:rFonts w:ascii="Tahoma" w:hAnsi="Tahoma" w:cs="Tahoma"/>
          <w:sz w:val="20"/>
          <w:szCs w:val="20"/>
        </w:rPr>
        <w:t>ó</w:t>
      </w:r>
      <w:r w:rsidRPr="000A4810">
        <w:rPr>
          <w:rFonts w:ascii="Tahoma" w:hAnsi="Tahoma" w:cs="Tahoma"/>
          <w:sz w:val="20"/>
          <w:szCs w:val="20"/>
        </w:rPr>
        <w:t xml:space="preserve">sforo, potasio o magnesio. 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“Para hacer buenos cultivos de servicio hay que cambiar el chip. Lo ideal es innovar y animarse a sembrar nuevos y distintos tipos de cultivos para tener una rotación óptima y diversificada”, lanzó Gervasio Piñeiro, también investigador del Conicet y profesor de la FAUBA. El especialista reveló que con ésta práctica se renueva información en el suelo, se contribuye al ecosistema y se mitiga el deterioro agrícola. “El suelo está vivo y hay que darle de comer con una dieta balanceada”, retrucó.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 xml:space="preserve">Piñeiro destacó que no trabajar los lotes en invierno significa una pérdida enorme y es un debate ya felizmente superado. La incorporación de cultivos como vicia, centeno, colza o rabanitos pueden ser rentables y además generan la posibilidad de producir más gastando menos. “Es como tener una caja de ahorro en el suelo. Debemos comenzar a mirar las raíces, ya que una buena parte del partido de la materia orgánica se juega ahí”, advirtió. 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La opinión de Peralta también fue en ese sentido y sugirió que una mezcla o cocktail de cultivos invernales muchas veces da un mejor resultado que trabajar con el mismo cultivo de servicio. “Hay que tener consideraciones en cuanto a la elección de cada especie y tener en claro los objetivos. Porque muchas veces los productores tienen una mala experiencia en un lote y nunca más vuelven a sembrar este tipo de cultivos”, aseveró.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La cebada cervecera y forrajera también se pueden incluir en este armado. Allí Cortese comentó las características particulares de las distintas variedades disponibles en el mercado local. “La cebada es muy competitiva y se ha vuelto una alternativa muy interesante para el productor. No se trata ya de cultivos sustitutivos, porque ahora tenemos la posibilidad de acceder a mercados internacionales con la mejor relación insumo producto desde hace muchos años”, confirmó.</w:t>
      </w:r>
    </w:p>
    <w:p w:rsidR="000A4810" w:rsidRPr="000A4810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>A su vez, el asesor señaló las bondades de la cebada cervecera de exportación que implica un mayor margen de ganancias: “Hay que tener en claro dónde vamos a vender el producto, porque en el mercado cervecero hay muchas exigencias”. Por su parte, si se opta por la cebada forrajera aconsejó no dejar de hacer monitoreo y manejo de enfermedades: “Nunca debemos pensar que podemos descuidar el tema sanitario con la cebada forrajera”.</w:t>
      </w:r>
    </w:p>
    <w:p w:rsidR="00A121BA" w:rsidRDefault="000A4810" w:rsidP="000A481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0A4810">
        <w:rPr>
          <w:rFonts w:ascii="Tahoma" w:hAnsi="Tahoma" w:cs="Tahoma"/>
          <w:sz w:val="20"/>
          <w:szCs w:val="20"/>
        </w:rPr>
        <w:t xml:space="preserve">Por último, Miguel Mac Maney, asesor en investigación y desarrollo, exploró las posibilidades del trigo candeal como otra alternativa para los cultivos de cobertura. “Es un cultivo muy atractivo que utiliza para hacer pastas secas </w:t>
      </w:r>
      <w:r w:rsidR="00297BB2">
        <w:rPr>
          <w:rFonts w:ascii="Tahoma" w:hAnsi="Tahoma" w:cs="Tahoma"/>
          <w:sz w:val="20"/>
          <w:szCs w:val="20"/>
        </w:rPr>
        <w:t>P</w:t>
      </w:r>
      <w:r w:rsidRPr="000A4810">
        <w:rPr>
          <w:rFonts w:ascii="Tahoma" w:hAnsi="Tahoma" w:cs="Tahoma"/>
          <w:sz w:val="20"/>
          <w:szCs w:val="20"/>
        </w:rPr>
        <w:t>remium. Tiene ciertos atributos de calidad propios y distintivos, principalmente dados por la fuerza del gluten”, remarcó. El 85% de la producción del trigo candeal proviene del sudeste y sudoeste, mientras que el otro 15% en regiones del sur de Córdoba, centro y Sur de Buenos Aires y Tucumán.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B05ACF" w:rsidRDefault="00B05ACF" w:rsidP="00B05ACF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264FC5" w:rsidRDefault="00264FC5" w:rsidP="008138B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</w:p>
    <w:p w:rsidR="00A67522" w:rsidRPr="005746BB" w:rsidRDefault="00A67522" w:rsidP="008138B8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5746BB">
        <w:rPr>
          <w:rFonts w:ascii="Tahoma" w:hAnsi="Tahoma" w:cs="Tahoma"/>
          <w:sz w:val="20"/>
          <w:szCs w:val="20"/>
        </w:rPr>
        <w:t xml:space="preserve">Más info en </w:t>
      </w:r>
      <w:hyperlink r:id="rId8" w:history="1">
        <w:r w:rsidRPr="005746BB">
          <w:rPr>
            <w:rStyle w:val="Hipervnculo"/>
            <w:rFonts w:ascii="Tahoma" w:hAnsi="Tahoma" w:cs="Tahoma"/>
            <w:sz w:val="20"/>
            <w:szCs w:val="20"/>
          </w:rPr>
          <w:t>www.atodotrigo.com.ar</w:t>
        </w:r>
      </w:hyperlink>
      <w:r w:rsidRPr="005746BB">
        <w:rPr>
          <w:rFonts w:ascii="Tahoma" w:hAnsi="Tahoma" w:cs="Tahoma"/>
          <w:sz w:val="20"/>
          <w:szCs w:val="20"/>
        </w:rPr>
        <w:t xml:space="preserve"> | T. @acopiadores | F. @atodo.trigo/</w:t>
      </w:r>
    </w:p>
    <w:sectPr w:rsidR="00A67522" w:rsidRPr="005746BB" w:rsidSect="009B23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20160" w:code="5"/>
      <w:pgMar w:top="1417" w:right="1701" w:bottom="1417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F2F" w:rsidRDefault="004A0F2F" w:rsidP="002409D2">
      <w:pPr>
        <w:spacing w:after="0" w:line="240" w:lineRule="auto"/>
      </w:pPr>
      <w:r>
        <w:separator/>
      </w:r>
    </w:p>
  </w:endnote>
  <w:endnote w:type="continuationSeparator" w:id="0">
    <w:p w:rsidR="004A0F2F" w:rsidRDefault="004A0F2F" w:rsidP="0024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36" w:rsidRDefault="00C8033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bookmarkStart w:id="0" w:name="_GoBack"/>
    <w:bookmarkEnd w:id="0"/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Prensa: SAVIA Comunicación </w:t>
    </w:r>
  </w:p>
  <w:p w:rsidR="002409D2" w:rsidRPr="006D1AB3" w:rsidRDefault="002409D2" w:rsidP="002409D2">
    <w:pPr>
      <w:pStyle w:val="Piedepgina"/>
      <w:tabs>
        <w:tab w:val="left" w:pos="555"/>
      </w:tabs>
      <w:jc w:val="right"/>
      <w:rPr>
        <w:rFonts w:ascii="Tahoma" w:hAnsi="Tahoma" w:cs="Tahoma"/>
        <w:color w:val="000000"/>
        <w:sz w:val="14"/>
        <w:szCs w:val="14"/>
      </w:rPr>
    </w:pP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Tel. 011 4545 7734 </w:t>
    </w:r>
    <w:r>
      <w:rPr>
        <w:rFonts w:ascii="Tahoma" w:hAnsi="Tahoma" w:cs="Tahoma"/>
        <w:noProof/>
        <w:color w:val="000000"/>
        <w:sz w:val="14"/>
        <w:szCs w:val="14"/>
        <w:lang w:val="es-MX"/>
      </w:rPr>
      <w:t xml:space="preserve">– 011 15 </w:t>
    </w:r>
    <w:r w:rsidR="001C6FE7">
      <w:rPr>
        <w:rFonts w:ascii="Tahoma" w:hAnsi="Tahoma" w:cs="Tahoma"/>
        <w:noProof/>
        <w:color w:val="000000"/>
        <w:sz w:val="14"/>
        <w:szCs w:val="14"/>
        <w:lang w:val="es-MX"/>
      </w:rPr>
      <w:t>6967 2255</w:t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</w:t>
    </w:r>
    <w:hyperlink r:id="rId1" w:history="1">
      <w:r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prensa@saviacomunicacion.com.ar</w:t>
      </w:r>
    </w:hyperlink>
  </w:p>
  <w:p w:rsidR="002409D2" w:rsidRPr="006D1AB3" w:rsidRDefault="004A0F2F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hyperlink r:id="rId2" w:history="1">
      <w:r w:rsidR="002409D2" w:rsidRPr="006D1AB3">
        <w:rPr>
          <w:rFonts w:ascii="Tahoma" w:hAnsi="Tahoma" w:cs="Tahoma"/>
          <w:noProof/>
          <w:color w:val="000000"/>
          <w:sz w:val="14"/>
          <w:szCs w:val="14"/>
          <w:lang w:val="es-MX"/>
        </w:rPr>
        <w:t>www.saviacomunicacion.com.ar</w:t>
      </w:r>
    </w:hyperlink>
    <w:r w:rsidR="002409D2"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  </w:t>
    </w:r>
  </w:p>
  <w:p w:rsidR="002409D2" w:rsidRPr="002409D2" w:rsidRDefault="002409D2" w:rsidP="002409D2">
    <w:pPr>
      <w:pStyle w:val="Piedepgina"/>
      <w:tabs>
        <w:tab w:val="left" w:pos="6450"/>
      </w:tabs>
      <w:jc w:val="right"/>
      <w:rPr>
        <w:rFonts w:ascii="Tahoma" w:hAnsi="Tahoma" w:cs="Tahoma"/>
        <w:noProof/>
        <w:color w:val="000000"/>
        <w:sz w:val="14"/>
        <w:szCs w:val="14"/>
        <w:lang w:val="es-MX"/>
      </w:rPr>
    </w:pPr>
    <w:r>
      <w:rPr>
        <w:rFonts w:ascii="Tahoma" w:hAnsi="Tahoma" w:cs="Tahoma"/>
        <w:noProof/>
        <w:color w:val="000000"/>
        <w:sz w:val="14"/>
        <w:szCs w:val="14"/>
        <w:vertAlign w:val="subscript"/>
        <w:lang w:eastAsia="es-AR"/>
      </w:rPr>
      <w:drawing>
        <wp:inline distT="0" distB="0" distL="0" distR="0">
          <wp:extent cx="114300" cy="114300"/>
          <wp:effectExtent l="0" t="0" r="0" b="0"/>
          <wp:docPr id="3" name="Imagen 3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Facebook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savia.comunicacion </w:t>
    </w:r>
    <w:r>
      <w:rPr>
        <w:rFonts w:ascii="Tahoma" w:hAnsi="Tahoma" w:cs="Tahoma"/>
        <w:noProof/>
        <w:color w:val="000000"/>
        <w:sz w:val="14"/>
        <w:szCs w:val="14"/>
        <w:lang w:eastAsia="es-AR"/>
      </w:rPr>
      <w:drawing>
        <wp:inline distT="0" distB="0" distL="0" distR="0">
          <wp:extent cx="114300" cy="114300"/>
          <wp:effectExtent l="0" t="0" r="0" b="0"/>
          <wp:docPr id="2" name="Imagen 2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Twitte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" cy="114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D1AB3">
      <w:rPr>
        <w:rFonts w:ascii="Tahoma" w:hAnsi="Tahoma" w:cs="Tahoma"/>
        <w:noProof/>
        <w:color w:val="000000"/>
        <w:sz w:val="14"/>
        <w:szCs w:val="14"/>
        <w:lang w:val="es-MX"/>
      </w:rPr>
      <w:t xml:space="preserve"> @saviaprensa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36" w:rsidRDefault="00C8033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F2F" w:rsidRDefault="004A0F2F" w:rsidP="002409D2">
      <w:pPr>
        <w:spacing w:after="0" w:line="240" w:lineRule="auto"/>
      </w:pPr>
      <w:r>
        <w:separator/>
      </w:r>
    </w:p>
  </w:footnote>
  <w:footnote w:type="continuationSeparator" w:id="0">
    <w:p w:rsidR="004A0F2F" w:rsidRDefault="004A0F2F" w:rsidP="0024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36" w:rsidRDefault="00C803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9D2" w:rsidRDefault="008D6A6C" w:rsidP="003970F3">
    <w:pPr>
      <w:pStyle w:val="Encabezado"/>
      <w:jc w:val="center"/>
    </w:pPr>
    <w:r>
      <w:rPr>
        <w:noProof/>
        <w:lang w:eastAsia="es-AR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posOffset>2352675</wp:posOffset>
          </wp:positionH>
          <wp:positionV relativeFrom="paragraph">
            <wp:posOffset>-415925</wp:posOffset>
          </wp:positionV>
          <wp:extent cx="974725" cy="986790"/>
          <wp:effectExtent l="0" t="0" r="0" b="0"/>
          <wp:wrapTopAndBottom/>
          <wp:docPr id="1" name="Imagen 1" descr="Feder_ch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Feder_ch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3970F3" w:rsidRDefault="003970F3" w:rsidP="003970F3">
    <w:pPr>
      <w:pStyle w:val="Encabezado"/>
      <w:jc w:val="center"/>
    </w:pPr>
  </w:p>
  <w:p w:rsidR="003970F3" w:rsidRDefault="003970F3" w:rsidP="003970F3">
    <w:pPr>
      <w:pStyle w:val="Encabezado"/>
      <w:jc w:val="center"/>
    </w:pPr>
    <w:r>
      <w:rPr>
        <w:b/>
        <w:noProof/>
        <w:u w:val="single"/>
        <w:lang w:eastAsia="es-AR"/>
      </w:rPr>
      <w:drawing>
        <wp:inline distT="0" distB="0" distL="0" distR="0">
          <wp:extent cx="2180674" cy="771525"/>
          <wp:effectExtent l="0" t="0" r="0" b="0"/>
          <wp:docPr id="4" name="Imagen 4" descr="C:\Users\Usuario\AppData\Local\Microsoft\Windows\INetCache\Content.Word\PPT A TODO TRIGO 2016-01 port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Usuario\AppData\Local\Microsoft\Windows\INetCache\Content.Word\PPT A TODO TRIGO 2016-01 portada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533" t="3251" r="25682" b="73275"/>
                  <a:stretch/>
                </pic:blipFill>
                <pic:spPr bwMode="auto">
                  <a:xfrm>
                    <a:off x="0" y="0"/>
                    <a:ext cx="2180117" cy="77132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336" w:rsidRDefault="00C8033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0EA"/>
    <w:rsid w:val="000010EA"/>
    <w:rsid w:val="000338B0"/>
    <w:rsid w:val="00044FFF"/>
    <w:rsid w:val="00045BF4"/>
    <w:rsid w:val="00060508"/>
    <w:rsid w:val="0009420D"/>
    <w:rsid w:val="000949CD"/>
    <w:rsid w:val="000A4810"/>
    <w:rsid w:val="000B4E7F"/>
    <w:rsid w:val="000B58B3"/>
    <w:rsid w:val="000C3296"/>
    <w:rsid w:val="000C500C"/>
    <w:rsid w:val="000D7C4B"/>
    <w:rsid w:val="0011537E"/>
    <w:rsid w:val="001222C1"/>
    <w:rsid w:val="0013179D"/>
    <w:rsid w:val="001802D4"/>
    <w:rsid w:val="001A6E0C"/>
    <w:rsid w:val="001C6B4A"/>
    <w:rsid w:val="001C6FE7"/>
    <w:rsid w:val="00216842"/>
    <w:rsid w:val="002370E5"/>
    <w:rsid w:val="002409D2"/>
    <w:rsid w:val="00250681"/>
    <w:rsid w:val="00264FC5"/>
    <w:rsid w:val="00282FE8"/>
    <w:rsid w:val="00297BB2"/>
    <w:rsid w:val="002A0D5A"/>
    <w:rsid w:val="002A4B7C"/>
    <w:rsid w:val="002D0945"/>
    <w:rsid w:val="002D48D2"/>
    <w:rsid w:val="002E5768"/>
    <w:rsid w:val="002E6F4C"/>
    <w:rsid w:val="00307D99"/>
    <w:rsid w:val="00310B6F"/>
    <w:rsid w:val="00341625"/>
    <w:rsid w:val="00343BC6"/>
    <w:rsid w:val="00364620"/>
    <w:rsid w:val="00391DCB"/>
    <w:rsid w:val="003970F3"/>
    <w:rsid w:val="003A1F75"/>
    <w:rsid w:val="003A75DB"/>
    <w:rsid w:val="003B3001"/>
    <w:rsid w:val="003E1F1B"/>
    <w:rsid w:val="003F4291"/>
    <w:rsid w:val="003F5960"/>
    <w:rsid w:val="00410DB5"/>
    <w:rsid w:val="00425FC3"/>
    <w:rsid w:val="00434CC3"/>
    <w:rsid w:val="00453A6E"/>
    <w:rsid w:val="0046623B"/>
    <w:rsid w:val="00472366"/>
    <w:rsid w:val="00474EE5"/>
    <w:rsid w:val="00484231"/>
    <w:rsid w:val="004A0F2F"/>
    <w:rsid w:val="004C1D30"/>
    <w:rsid w:val="004E1E75"/>
    <w:rsid w:val="004E34A7"/>
    <w:rsid w:val="004F54DB"/>
    <w:rsid w:val="00503B38"/>
    <w:rsid w:val="00515791"/>
    <w:rsid w:val="005258E7"/>
    <w:rsid w:val="00556EE4"/>
    <w:rsid w:val="00571488"/>
    <w:rsid w:val="005746BB"/>
    <w:rsid w:val="00580072"/>
    <w:rsid w:val="0058226A"/>
    <w:rsid w:val="005851AA"/>
    <w:rsid w:val="005A6C6A"/>
    <w:rsid w:val="005B353E"/>
    <w:rsid w:val="005D77DC"/>
    <w:rsid w:val="005E1EA8"/>
    <w:rsid w:val="00601D43"/>
    <w:rsid w:val="00635D66"/>
    <w:rsid w:val="006418FA"/>
    <w:rsid w:val="00641E66"/>
    <w:rsid w:val="00660621"/>
    <w:rsid w:val="00675323"/>
    <w:rsid w:val="00686E8C"/>
    <w:rsid w:val="006A157C"/>
    <w:rsid w:val="006B4ADA"/>
    <w:rsid w:val="006C5C82"/>
    <w:rsid w:val="006D3A6C"/>
    <w:rsid w:val="006F08EA"/>
    <w:rsid w:val="00706077"/>
    <w:rsid w:val="00736569"/>
    <w:rsid w:val="007366AA"/>
    <w:rsid w:val="00742BE3"/>
    <w:rsid w:val="0074536A"/>
    <w:rsid w:val="00747DB5"/>
    <w:rsid w:val="00751DE8"/>
    <w:rsid w:val="00752752"/>
    <w:rsid w:val="00754883"/>
    <w:rsid w:val="007572DD"/>
    <w:rsid w:val="00760EAB"/>
    <w:rsid w:val="00781B25"/>
    <w:rsid w:val="007915A5"/>
    <w:rsid w:val="007A4D45"/>
    <w:rsid w:val="007C2CA7"/>
    <w:rsid w:val="007D1E27"/>
    <w:rsid w:val="007E0BE6"/>
    <w:rsid w:val="007E7D63"/>
    <w:rsid w:val="0080218A"/>
    <w:rsid w:val="008138B8"/>
    <w:rsid w:val="0081672F"/>
    <w:rsid w:val="00824046"/>
    <w:rsid w:val="00831CD5"/>
    <w:rsid w:val="00854A45"/>
    <w:rsid w:val="00875C7E"/>
    <w:rsid w:val="0089390A"/>
    <w:rsid w:val="008B3999"/>
    <w:rsid w:val="008C2340"/>
    <w:rsid w:val="008D211E"/>
    <w:rsid w:val="008D4141"/>
    <w:rsid w:val="008D6A6C"/>
    <w:rsid w:val="008E5A1D"/>
    <w:rsid w:val="00900430"/>
    <w:rsid w:val="00901CCA"/>
    <w:rsid w:val="00932157"/>
    <w:rsid w:val="00951BF3"/>
    <w:rsid w:val="00954DFC"/>
    <w:rsid w:val="0096029A"/>
    <w:rsid w:val="00995F32"/>
    <w:rsid w:val="009A54BD"/>
    <w:rsid w:val="009B23BE"/>
    <w:rsid w:val="009B2AF6"/>
    <w:rsid w:val="009B3FD6"/>
    <w:rsid w:val="009C25AB"/>
    <w:rsid w:val="009C5BAA"/>
    <w:rsid w:val="009D11B0"/>
    <w:rsid w:val="009E77BE"/>
    <w:rsid w:val="00A121BA"/>
    <w:rsid w:val="00A141D8"/>
    <w:rsid w:val="00A168EE"/>
    <w:rsid w:val="00A2284F"/>
    <w:rsid w:val="00A31DF7"/>
    <w:rsid w:val="00A41EB6"/>
    <w:rsid w:val="00A67522"/>
    <w:rsid w:val="00A77CCF"/>
    <w:rsid w:val="00A8497F"/>
    <w:rsid w:val="00AD0966"/>
    <w:rsid w:val="00AD277B"/>
    <w:rsid w:val="00AD3159"/>
    <w:rsid w:val="00B05ACF"/>
    <w:rsid w:val="00B200A4"/>
    <w:rsid w:val="00B434C3"/>
    <w:rsid w:val="00B60429"/>
    <w:rsid w:val="00B65FDB"/>
    <w:rsid w:val="00B835B4"/>
    <w:rsid w:val="00BA6086"/>
    <w:rsid w:val="00BB1760"/>
    <w:rsid w:val="00BD33AD"/>
    <w:rsid w:val="00BD73D4"/>
    <w:rsid w:val="00BE057A"/>
    <w:rsid w:val="00BF4706"/>
    <w:rsid w:val="00C01AD7"/>
    <w:rsid w:val="00C14BA0"/>
    <w:rsid w:val="00C66D37"/>
    <w:rsid w:val="00C75396"/>
    <w:rsid w:val="00C80336"/>
    <w:rsid w:val="00CB7BE9"/>
    <w:rsid w:val="00CC65D8"/>
    <w:rsid w:val="00D06AD4"/>
    <w:rsid w:val="00D12FD1"/>
    <w:rsid w:val="00D16FFE"/>
    <w:rsid w:val="00D2394F"/>
    <w:rsid w:val="00D309A9"/>
    <w:rsid w:val="00D35C8D"/>
    <w:rsid w:val="00D3791A"/>
    <w:rsid w:val="00D45716"/>
    <w:rsid w:val="00D91EE1"/>
    <w:rsid w:val="00D92E59"/>
    <w:rsid w:val="00DD53E7"/>
    <w:rsid w:val="00DE4E37"/>
    <w:rsid w:val="00E001A1"/>
    <w:rsid w:val="00E025ED"/>
    <w:rsid w:val="00E07FA0"/>
    <w:rsid w:val="00E366CC"/>
    <w:rsid w:val="00E50DF7"/>
    <w:rsid w:val="00E845D5"/>
    <w:rsid w:val="00EA33FC"/>
    <w:rsid w:val="00EC42C6"/>
    <w:rsid w:val="00EF01E6"/>
    <w:rsid w:val="00F01A91"/>
    <w:rsid w:val="00F06E8D"/>
    <w:rsid w:val="00F23A01"/>
    <w:rsid w:val="00F24952"/>
    <w:rsid w:val="00F26602"/>
    <w:rsid w:val="00F45679"/>
    <w:rsid w:val="00F47990"/>
    <w:rsid w:val="00F81D8A"/>
    <w:rsid w:val="00FA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C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9D2"/>
  </w:style>
  <w:style w:type="paragraph" w:styleId="Piedepgina">
    <w:name w:val="footer"/>
    <w:basedOn w:val="Normal"/>
    <w:link w:val="PiedepginaCar"/>
    <w:uiPriority w:val="99"/>
    <w:unhideWhenUsed/>
    <w:rsid w:val="002409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9D2"/>
  </w:style>
  <w:style w:type="paragraph" w:styleId="Textodeglobo">
    <w:name w:val="Balloon Text"/>
    <w:basedOn w:val="Normal"/>
    <w:link w:val="TextodegloboCar"/>
    <w:uiPriority w:val="99"/>
    <w:semiHidden/>
    <w:unhideWhenUsed/>
    <w:rsid w:val="0024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09D2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F54DB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C753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3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odotrigo.com.ar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saviacomunicacion.com.ar" TargetMode="External"/><Relationship Id="rId1" Type="http://schemas.openxmlformats.org/officeDocument/2006/relationships/hyperlink" Target="mailto:prensa@saviacomunicacion.com.ar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80A81-860B-4AE0-83C7-97A5CBD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</Pages>
  <Words>717</Words>
  <Characters>3884</Characters>
  <Application>Microsoft Office Word</Application>
  <DocSecurity>0</DocSecurity>
  <Lines>117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ACOPIADORES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Usuario</cp:lastModifiedBy>
  <cp:revision>41</cp:revision>
  <cp:lastPrinted>2018-01-17T16:04:00Z</cp:lastPrinted>
  <dcterms:created xsi:type="dcterms:W3CDTF">2018-05-02T18:55:00Z</dcterms:created>
  <dcterms:modified xsi:type="dcterms:W3CDTF">2018-05-11T21:13:00Z</dcterms:modified>
</cp:coreProperties>
</file>