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3675" w14:textId="65C2D654" w:rsidR="00E37FD6" w:rsidRPr="00AC4BB7" w:rsidRDefault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color w:val="000000"/>
          <w:sz w:val="21"/>
          <w:szCs w:val="21"/>
        </w:rPr>
      </w:pPr>
      <w:r w:rsidRPr="00AC4BB7">
        <w:rPr>
          <w:rFonts w:ascii="Noto Sans" w:eastAsia="Noto Sans" w:hAnsi="Noto Sans" w:cs="Noto Sans"/>
          <w:b/>
          <w:sz w:val="21"/>
          <w:szCs w:val="21"/>
        </w:rPr>
        <w:t xml:space="preserve">UPL en </w:t>
      </w:r>
      <w:r w:rsidR="00EE5122" w:rsidRPr="00AC4BB7">
        <w:rPr>
          <w:rFonts w:ascii="Noto Sans" w:eastAsia="Noto Sans" w:hAnsi="Noto Sans" w:cs="Noto Sans"/>
          <w:b/>
          <w:sz w:val="21"/>
          <w:szCs w:val="21"/>
        </w:rPr>
        <w:t xml:space="preserve">el </w:t>
      </w:r>
      <w:proofErr w:type="spellStart"/>
      <w:r w:rsidRPr="00AC4BB7">
        <w:rPr>
          <w:rFonts w:ascii="Noto Sans" w:eastAsia="Noto Sans" w:hAnsi="Noto Sans" w:cs="Noto Sans"/>
          <w:b/>
          <w:sz w:val="21"/>
          <w:szCs w:val="21"/>
        </w:rPr>
        <w:t>CongresoMaizar</w:t>
      </w:r>
      <w:proofErr w:type="spellEnd"/>
      <w:r w:rsidRPr="00AC4BB7">
        <w:rPr>
          <w:rFonts w:ascii="Noto Sans" w:eastAsia="Noto Sans" w:hAnsi="Noto Sans" w:cs="Noto Sans"/>
          <w:b/>
          <w:sz w:val="21"/>
          <w:szCs w:val="21"/>
        </w:rPr>
        <w:t xml:space="preserve"> 2023</w:t>
      </w:r>
    </w:p>
    <w:p w14:paraId="68E0FBB5" w14:textId="77777777" w:rsidR="00AC4BB7" w:rsidRDefault="00EE5122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i/>
          <w:sz w:val="20"/>
          <w:szCs w:val="20"/>
        </w:rPr>
      </w:pPr>
      <w:proofErr w:type="spellStart"/>
      <w:r w:rsidRPr="00AC4BB7">
        <w:rPr>
          <w:rFonts w:ascii="Noto Sans" w:eastAsia="Noto Sans" w:hAnsi="Noto Sans" w:cs="Noto Sans"/>
          <w:b/>
          <w:sz w:val="32"/>
          <w:szCs w:val="32"/>
        </w:rPr>
        <w:t>Bioinsumos</w:t>
      </w:r>
      <w:proofErr w:type="spellEnd"/>
      <w:r w:rsidRPr="00AC4BB7">
        <w:rPr>
          <w:rFonts w:ascii="Noto Sans" w:eastAsia="Noto Sans" w:hAnsi="Noto Sans" w:cs="Noto Sans"/>
          <w:b/>
          <w:sz w:val="32"/>
          <w:szCs w:val="32"/>
        </w:rPr>
        <w:t>, ¿moda o tendencia?</w:t>
      </w:r>
      <w:r w:rsidRPr="004B703C">
        <w:rPr>
          <w:rFonts w:ascii="Noto Sans Light" w:eastAsia="Noto Sans Light" w:hAnsi="Noto Sans Light" w:cs="Noto Sans Light"/>
          <w:i/>
          <w:sz w:val="20"/>
          <w:szCs w:val="20"/>
        </w:rPr>
        <w:t xml:space="preserve"> </w:t>
      </w:r>
    </w:p>
    <w:p w14:paraId="21F17A18" w14:textId="77777777" w:rsidR="00AC4BB7" w:rsidRDefault="00AC4BB7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i/>
          <w:sz w:val="20"/>
          <w:szCs w:val="20"/>
        </w:rPr>
      </w:pPr>
    </w:p>
    <w:p w14:paraId="6F9E3678" w14:textId="1A253F13" w:rsidR="00EE5122" w:rsidRPr="004B703C" w:rsidRDefault="004B703C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i/>
          <w:sz w:val="20"/>
          <w:szCs w:val="20"/>
        </w:rPr>
      </w:pPr>
      <w:r w:rsidRPr="004B703C">
        <w:rPr>
          <w:rFonts w:ascii="Noto Sans Light" w:eastAsia="Noto Sans Light" w:hAnsi="Noto Sans Light" w:cs="Noto Sans Light"/>
          <w:i/>
          <w:sz w:val="20"/>
          <w:szCs w:val="20"/>
        </w:rPr>
        <w:t xml:space="preserve">UPL participó de un panel y brindó detalles sobre el aporte de </w:t>
      </w:r>
      <w:r>
        <w:rPr>
          <w:rFonts w:ascii="Noto Sans Light" w:eastAsia="Noto Sans Light" w:hAnsi="Noto Sans Light" w:cs="Noto Sans Light"/>
          <w:i/>
          <w:sz w:val="20"/>
          <w:szCs w:val="20"/>
        </w:rPr>
        <w:t>los productos biológicos</w:t>
      </w:r>
      <w:r w:rsidRPr="004B703C">
        <w:rPr>
          <w:rFonts w:ascii="Noto Sans Light" w:eastAsia="Noto Sans Light" w:hAnsi="Noto Sans Light" w:cs="Noto Sans Light"/>
          <w:i/>
          <w:sz w:val="20"/>
          <w:szCs w:val="20"/>
        </w:rPr>
        <w:t xml:space="preserve"> en la agricultura extensiva, con especial foco en el cultivo de maíz. </w:t>
      </w:r>
    </w:p>
    <w:p w14:paraId="5460D29C" w14:textId="77777777" w:rsidR="00EE5122" w:rsidRDefault="00EE5122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0314D4EF" w14:textId="0063CFD7" w:rsidR="00EE5122" w:rsidRDefault="00EE5122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¿Qué es una solución biológica y cuál es su aporte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agricultura? Como concepto básico, los productos biológicos son formulados a partir de organismos vivos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extractos de plantas, </w:t>
      </w:r>
      <w:r w:rsidR="008A3534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de algas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</w:t>
      </w:r>
      <w:r w:rsidR="008A3534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etc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  <w:r w:rsidR="008A3534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Los más conocidos son los inoculantes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que se utilizan en soja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de uso extendido en la agricultura, pero también se suman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otros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orientados a la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biofertilización</w:t>
      </w:r>
      <w:proofErr w:type="spellEnd"/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bioestimulación</w:t>
      </w:r>
      <w:proofErr w:type="spellEnd"/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y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el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biocontrol</w:t>
      </w:r>
      <w:proofErr w:type="spellEnd"/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</w:p>
    <w:p w14:paraId="5B6D2279" w14:textId="77777777" w:rsidR="0081012A" w:rsidRDefault="0081012A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30248477" w14:textId="7D3C3EDC" w:rsidR="0081012A" w:rsidRDefault="0081012A" w:rsidP="0081012A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Hoy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 el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mercado de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las </w:t>
      </w:r>
      <w:proofErr w:type="spellStart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es de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unos 100 millones de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dólares aproximadamente. La mitad corresponde a los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inoculantes. Es un mercado chico 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que crece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a altas tasas. Se proyectan índices de expansión del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20%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anual por los próximos 8 años. </w:t>
      </w:r>
    </w:p>
    <w:p w14:paraId="3D8606CB" w14:textId="77777777" w:rsidR="0081012A" w:rsidRDefault="0081012A" w:rsidP="0081012A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34A64D9C" w14:textId="5D7C453C" w:rsidR="0081012A" w:rsidRPr="00596D06" w:rsidRDefault="0081012A" w:rsidP="0081012A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Daniel Germinara es el gerente de </w:t>
      </w:r>
      <w:proofErr w:type="spellStart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UPL, 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compañía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líder del segmento a nivel mundial. En su opinión, el acompañamiento de los precios de los granos,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la presión social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AC4BB7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hacia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producción sustentable de alimentos, el cambio ge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n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r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acional y de mentalidad, impulsa</w:t>
      </w:r>
      <w:r w:rsidR="00AC4BB7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n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adopción de este tipo de productos. “En el futuro, crecerá especialmente el segmento de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los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controladores biológicos.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Pero en general,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los productos biológicos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tienen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bajo impacto ambiental, mejoran la fijación de carbono y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aportan un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retorno económico positivo.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En la agricultura extensiva h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ay mucha tela para cortar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”, sostuvo durante su participación en el Congreso </w:t>
      </w:r>
      <w:proofErr w:type="spellStart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Maizar</w:t>
      </w:r>
      <w:proofErr w:type="spellEnd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 </w:t>
      </w:r>
    </w:p>
    <w:p w14:paraId="13E2015D" w14:textId="77777777" w:rsidR="0081012A" w:rsidRPr="00596D06" w:rsidRDefault="0081012A" w:rsidP="0081012A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605AFD90" w14:textId="3C66170E" w:rsidR="0081012A" w:rsidRDefault="0081012A" w:rsidP="0081012A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“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Muchas veces se considera a estos productos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la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“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cereza del postre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”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y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en realidad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una buena parte de ellos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resuelve problemáticas básic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como mejorar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la productividad en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suelos salinos, recuperar a los cultivos de un estrés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—ya sea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térmico 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ocasionado por la deriva de un herbicida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-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e incluso </w:t>
      </w:r>
      <w:proofErr w:type="spellStart"/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fisioactivar</w:t>
      </w:r>
      <w:proofErr w:type="spellEnd"/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un cultivo para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por ejemplo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fijar más fruta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en el caso de las producciones intensivas”, detalló. </w:t>
      </w:r>
    </w:p>
    <w:p w14:paraId="71C6384E" w14:textId="77777777" w:rsidR="00EE5122" w:rsidRDefault="00EE5122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2EFE5B80" w14:textId="338F442F" w:rsidR="0069709D" w:rsidRDefault="00EE5122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“L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a adopción de este tipo de productos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va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la mano de una adaptación cultural que implica conocer más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sobre los procesos biológicos de las plantas y el aporte que hacen las </w:t>
      </w:r>
      <w:proofErr w:type="spellStart"/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. Hay que evaluar cuándo y cómo conviene aplicarlos en cada caso”, explicó Germinara, poniendo el acento en el servicio que las compañías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deben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darle al productor a la hora de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obtener los mejores resultados.</w:t>
      </w:r>
    </w:p>
    <w:p w14:paraId="47619DDA" w14:textId="77777777" w:rsidR="0069709D" w:rsidRDefault="0069709D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77CD1B70" w14:textId="5C266958" w:rsidR="0081012A" w:rsidRPr="00AC4BB7" w:rsidRDefault="0081012A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</w:pPr>
      <w:r w:rsidRPr="00AC4BB7"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  <w:t>Soluciones que agrandan el campo</w:t>
      </w:r>
    </w:p>
    <w:p w14:paraId="317E861A" w14:textId="1A379F96" w:rsidR="00EE5122" w:rsidRPr="00596D06" w:rsidRDefault="00596D06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HUMIPLEX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®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es un claro y revolucionario ejemplo del impacto que los productos biológicos tienen en la agricultura extensiva. Se trata de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un </w:t>
      </w:r>
      <w:proofErr w:type="spellStart"/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bioactivador</w:t>
      </w:r>
      <w:proofErr w:type="spellEnd"/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lastRenderedPageBreak/>
        <w:t>suelo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que permite el logro del cultivo en partes del lote donde antes no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se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podía sembrar o los rendimientos eran muy bajos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por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efecto de la salinidad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 “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Habiendo 12.000.000 de h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ectáreas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con algún problema de salinidad, este producto viene a proponer que el cultivo pueda desarrollarse en esos ambientes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 Además,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su uso continuo, a través de los rastrojos y las raíces que quedan de ese cultivo, va a ir mejorando esos ambientes,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la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infiltración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del suelo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y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el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aport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 de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materia orgánica. No es solo más rendimiento </w:t>
      </w:r>
      <w:r w:rsidR="009214E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también es más calidad de suelo en esas áreas difíciles”. </w:t>
      </w:r>
    </w:p>
    <w:p w14:paraId="5DEB6C3C" w14:textId="77777777" w:rsidR="00EE5122" w:rsidRPr="00596D06" w:rsidRDefault="00EE5122" w:rsidP="00EE5122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5365C3CD" w14:textId="7BBC8041" w:rsidR="0069709D" w:rsidRDefault="009214ED" w:rsidP="0069709D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HUMIPLEX®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es ácido húmico al 50%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 Es un producto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granulado para aplicación a la siembra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junto al fertilizante, en dosis que van de los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30 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los </w:t>
      </w:r>
      <w:r w:rsidR="00EE5122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60 kg/ha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“Lograr viabilizar el cultivo en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porciones del lote donde antes no ven</w:t>
      </w:r>
      <w:r w:rsidR="0034308E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í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 o el desarrollo era muy pobre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realmente hace la diferencia”, ejemplifica el gerente de </w:t>
      </w:r>
      <w:proofErr w:type="spellStart"/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UPL.</w:t>
      </w:r>
    </w:p>
    <w:p w14:paraId="66B66851" w14:textId="77777777" w:rsidR="0069709D" w:rsidRDefault="0069709D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75FF8318" w14:textId="2D5C824D" w:rsidR="00596D06" w:rsidRPr="00596D06" w:rsidRDefault="00596D06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Hoy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 los productos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con más penetración dentro del segmento de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UPL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son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dupla BIOZYME TF y BIOTRON PLUS, le s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iguen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K-FOL, HUMIPLEX 50G y ZEBA. 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A ellos se están sumando dos nuevos lanzamientos: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OPTIMAT y JUMPSTART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 e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l primero es un nuevo recuperador de estrés con una respuesta muy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buena en rendimiento y muy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estable,</w:t>
      </w:r>
      <w:r w:rsidR="0069709D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y el segundo es una nueva tecnología en inoculación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606FF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que tiene por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objetivo eficientizar el uso del fósforo y estimular el desarrollo radicular.</w:t>
      </w:r>
    </w:p>
    <w:p w14:paraId="1F4C5DA3" w14:textId="77777777" w:rsidR="00596D06" w:rsidRPr="00596D06" w:rsidRDefault="00596D06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3F06696F" w14:textId="69895891" w:rsidR="00596D06" w:rsidRPr="00AC4BB7" w:rsidRDefault="008D799C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</w:pPr>
      <w:r w:rsidRPr="00AC4BB7"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  <w:t xml:space="preserve">¿Qué le aportan las </w:t>
      </w:r>
      <w:proofErr w:type="spellStart"/>
      <w:r w:rsidRPr="00AC4BB7"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  <w:t>biosoluciones</w:t>
      </w:r>
      <w:proofErr w:type="spellEnd"/>
      <w:r w:rsidRPr="00AC4BB7">
        <w:rPr>
          <w:rFonts w:ascii="Noto Sans Light" w:hAnsi="Noto Sans Light" w:cs="Noto Sans Light"/>
          <w:b/>
          <w:bCs/>
          <w:color w:val="222222"/>
          <w:sz w:val="20"/>
          <w:szCs w:val="20"/>
          <w:shd w:val="clear" w:color="auto" w:fill="FFFFFF"/>
        </w:rPr>
        <w:t xml:space="preserve"> al maíz?</w:t>
      </w:r>
    </w:p>
    <w:p w14:paraId="60ED1A64" w14:textId="6BBEAB82" w:rsidR="00596D06" w:rsidRPr="00596D06" w:rsidRDefault="004B703C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Al indudable valor que tiene incorporar hectáreas productivas a partir del mejoramiento de suelos con 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HUMIPLEX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@, se suma, por ejemplo, el aporte de </w:t>
      </w:r>
    </w:p>
    <w:p w14:paraId="39BCF262" w14:textId="73564A32" w:rsidR="004B703C" w:rsidRDefault="00596D06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BIOZYME TF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®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para aplicación 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semilla. 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“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En maíz es crítico lograr uniformidad en crecimiento inicial, la limitante está en que ni el productor ni el semillero quiere</w:t>
      </w:r>
      <w:r w:rsidR="00606FF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tocar la semilla una vez que abre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bolsa, pero tenemos 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experiencias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con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clientes que siembran muy temprano -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en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agosto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y principio</w:t>
      </w:r>
      <w:r w:rsidR="00143C1F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 septiembre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- </w:t>
      </w:r>
      <w:r w:rsidR="00143C1F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cuando la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semilla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tarda mucho en germinar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porque el suelo está frío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. Esta </w:t>
      </w:r>
      <w:proofErr w:type="spellStart"/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biosolución</w:t>
      </w:r>
      <w:proofErr w:type="spellEnd"/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 w:rsidR="00454889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aumenta la velocidad de germinación y emergencia logrando un stand de plantas más uniforme</w:t>
      </w:r>
      <w:r w:rsidR="004B703C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”, detalló Germinara.</w:t>
      </w:r>
    </w:p>
    <w:p w14:paraId="18D2FEC0" w14:textId="77777777" w:rsidR="00AC4BB7" w:rsidRDefault="00AC4BB7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72E62D10" w14:textId="55D85B30" w:rsidR="004B703C" w:rsidRDefault="004B703C" w:rsidP="00143C1F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UPL también está haciendo experiencias con el uso de 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ZEBA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y su aporte en la 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eficiencia de uso de agua en maíz.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Este producto es </w:t>
      </w:r>
      <w:r w:rsidRPr="00AC4BB7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un acondicionador de suelo de origen natural que aumenta la disponibilidad de agua y nutrientes para las plantas lanzado el año pasado en el país.</w:t>
      </w:r>
    </w:p>
    <w:p w14:paraId="606075BB" w14:textId="77777777" w:rsidR="00AC4BB7" w:rsidRPr="00596D06" w:rsidRDefault="00AC4BB7" w:rsidP="004B703C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</w:p>
    <w:p w14:paraId="053A0844" w14:textId="1361AB79" w:rsidR="00596D06" w:rsidRPr="00596D06" w:rsidRDefault="004B703C" w:rsidP="00596D06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Para el período vegetativo del maíz, la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aplicación de BIOZYME TF foliar </w:t>
      </w:r>
      <w:r w:rsidR="00EE0555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en V4 a V6 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aumenta la tasa de crecimiento</w:t>
      </w:r>
      <w:r w:rsidR="00EE0555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con </w:t>
      </w:r>
      <w:r w:rsidR="00143C1F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el</w:t>
      </w:r>
      <w:r w:rsidR="00EE0555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objetivo de fijar m</w:t>
      </w:r>
      <w:r w:rsidR="00143C1F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á</w:t>
      </w:r>
      <w:r w:rsidR="00EE0555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s granos e impactar positivamente en el rendimiento.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Este producto 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da señales a la planta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y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la induce a la producción de hormonas, lo que lo hace un producto más duradero en el tiempo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  <w:r w:rsidR="00596D06"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 </w:t>
      </w:r>
    </w:p>
    <w:p w14:paraId="0155FECC" w14:textId="77777777" w:rsidR="00C872E5" w:rsidRDefault="00C872E5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sz w:val="20"/>
          <w:szCs w:val="20"/>
        </w:rPr>
      </w:pPr>
    </w:p>
    <w:p w14:paraId="46731857" w14:textId="77777777" w:rsidR="00AC4BB7" w:rsidRDefault="00AC4BB7" w:rsidP="00AC4BB7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</w:pP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UPL es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una compañía global con un enfoque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estratégico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en el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desarrollo de las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biosoluciones</w:t>
      </w:r>
      <w:proofErr w:type="spellEnd"/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, a tal punto que creó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una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división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denominada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NPP (Natural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Plant</w:t>
      </w:r>
      <w:proofErr w:type="spellEnd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Protection</w:t>
      </w:r>
      <w:proofErr w:type="spellEnd"/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)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a partir de la cual ejecuta su 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compromiso con la sustentabilidad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.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En Argentina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>, la compañía cuenta con un equipo técnico</w:t>
      </w:r>
      <w:r w:rsidRPr="00596D06"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 dedicado a </w:t>
      </w:r>
      <w:r>
        <w:rPr>
          <w:rFonts w:ascii="Noto Sans Light" w:hAnsi="Noto Sans Light" w:cs="Noto Sans Light"/>
          <w:color w:val="222222"/>
          <w:sz w:val="20"/>
          <w:szCs w:val="20"/>
          <w:shd w:val="clear" w:color="auto" w:fill="FFFFFF"/>
        </w:rPr>
        <w:t xml:space="preserve">acompañar a los productores en el aprovechamiento de estas tecnologías. </w:t>
      </w:r>
    </w:p>
    <w:p w14:paraId="3018E76D" w14:textId="77777777" w:rsidR="00AC4BB7" w:rsidRDefault="00AC4BB7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sz w:val="20"/>
          <w:szCs w:val="20"/>
        </w:rPr>
      </w:pPr>
    </w:p>
    <w:p w14:paraId="736E30C8" w14:textId="77777777" w:rsidR="00C872E5" w:rsidRPr="009A40FD" w:rsidRDefault="00C872E5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color w:val="000000"/>
          <w:sz w:val="20"/>
          <w:szCs w:val="20"/>
        </w:rPr>
      </w:pPr>
    </w:p>
    <w:p w14:paraId="085662DD" w14:textId="77777777" w:rsidR="00E37FD6" w:rsidRPr="009A40FD" w:rsidRDefault="001600D4">
      <w:pPr>
        <w:pBdr>
          <w:top w:val="nil"/>
          <w:left w:val="nil"/>
          <w:bottom w:val="nil"/>
          <w:right w:val="nil"/>
          <w:between w:val="nil"/>
        </w:pBdr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</w:pP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Acerca de UPL</w:t>
      </w:r>
    </w:p>
    <w:p w14:paraId="27C6A1D7" w14:textId="1ED6B064" w:rsidR="00F107E6" w:rsidRPr="00F107E6" w:rsidRDefault="001600D4" w:rsidP="00F107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UPL Ltd. (NSE: UPL &amp; BSE: 512070) es un proveedor global de productos y soluciones agrícolas sostenibles, con ingresos anuales que superan los 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6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 mil millones de dólares. Somos una empresa orientada a un propósito. A través de </w:t>
      </w:r>
      <w:proofErr w:type="spellStart"/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OpenAg</w:t>
      </w:r>
      <w:proofErr w:type="spellEnd"/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, UPL se centra en facilitar el progreso de toda la cadena de valor agrícola. Estamos construyendo una red que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 </w:t>
      </w:r>
      <w:r w:rsidR="00F107E6" w:rsidRP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está reinventando la sustentabilidad,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 redefin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iendo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 la forma en que toda una industria piensa y trabaja: abierta a nuevas ideas, 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a la innovación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 y 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a 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nuevas respuestas mientras nos esforzamos por lograr nuestra misión de hacer que cada producto alimenticio sea más s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ustentable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. Como una de las empresas de soluciones agrícolas más grandes del mundo, nuestra sólida cartera consta de productos biológicos y soluciones tradicionales de protección de cultivos con más de </w:t>
      </w:r>
      <w:r w:rsidR="00F107E6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14.000 </w:t>
      </w:r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 xml:space="preserve">registros. Estamos presentes en más de 130 países, representados por más de 10.000 colegas a nivel mundial. Para obtener más información sobre nuestro portafolio integrado de soluciones en toda la cadena de valor alimentaria, incluidas semillas, </w:t>
      </w:r>
      <w:proofErr w:type="spellStart"/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poscosecha</w:t>
      </w:r>
      <w:proofErr w:type="spellEnd"/>
      <w:r w:rsidRPr="009A40FD">
        <w:rPr>
          <w:rFonts w:ascii="Noto Sans Light" w:eastAsia="Noto Sans Light" w:hAnsi="Noto Sans Light" w:cs="Noto Sans Light"/>
          <w:i/>
          <w:color w:val="000000"/>
          <w:sz w:val="18"/>
          <w:szCs w:val="18"/>
        </w:rPr>
        <w:t>, así como servicios físicos y digitales, visite upl-ltd.com  //</w:t>
      </w:r>
      <w:hyperlink r:id="rId7">
        <w:r w:rsidRPr="009A40FD">
          <w:rPr>
            <w:rFonts w:ascii="Noto Sans Light" w:eastAsia="Noto Sans Light" w:hAnsi="Noto Sans Light" w:cs="Noto Sans Light"/>
            <w:i/>
            <w:color w:val="000000"/>
            <w:sz w:val="18"/>
            <w:szCs w:val="18"/>
          </w:rPr>
          <w:t xml:space="preserve"> ar.uplonline.com</w:t>
        </w:r>
      </w:hyperlink>
    </w:p>
    <w:p w14:paraId="22F14824" w14:textId="77777777" w:rsidR="00F107E6" w:rsidRDefault="00F107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DD0FB17" w14:textId="308E4FAF" w:rsidR="009F500D" w:rsidRPr="009A40FD" w:rsidRDefault="009F500D" w:rsidP="009F500D">
      <w:pPr>
        <w:rPr>
          <w:rFonts w:ascii="Calibri" w:eastAsia="Calibri" w:hAnsi="Calibri" w:cs="Calibri"/>
          <w:color w:val="000000"/>
        </w:rPr>
      </w:pPr>
    </w:p>
    <w:sectPr w:rsidR="009F500D" w:rsidRPr="009A40FD" w:rsidSect="009F500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007" w:right="2257" w:bottom="1744" w:left="225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9766" w14:textId="77777777" w:rsidR="00E652A7" w:rsidRDefault="00E652A7">
      <w:r>
        <w:separator/>
      </w:r>
    </w:p>
  </w:endnote>
  <w:endnote w:type="continuationSeparator" w:id="0">
    <w:p w14:paraId="1998C97B" w14:textId="77777777" w:rsidR="00E652A7" w:rsidRDefault="00E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DEB2" w14:textId="77777777" w:rsidR="009F500D" w:rsidRPr="009F500D" w:rsidRDefault="009F500D" w:rsidP="009F500D">
    <w:pPr>
      <w:jc w:val="right"/>
      <w:rPr>
        <w:rFonts w:ascii="Calibri" w:eastAsia="Tahoma" w:hAnsi="Calibri" w:cs="Calibri"/>
        <w:sz w:val="11"/>
        <w:szCs w:val="11"/>
      </w:rPr>
    </w:pPr>
    <w:r w:rsidRPr="009F500D">
      <w:rPr>
        <w:rFonts w:ascii="Calibri" w:eastAsia="Tahoma" w:hAnsi="Calibri" w:cs="Calibri"/>
        <w:sz w:val="11"/>
        <w:szCs w:val="11"/>
      </w:rPr>
      <w:t xml:space="preserve">Prensa: </w:t>
    </w:r>
  </w:p>
  <w:p w14:paraId="4ACC6B12" w14:textId="77777777" w:rsidR="009F500D" w:rsidRPr="009F500D" w:rsidRDefault="00000000" w:rsidP="009F500D">
    <w:pPr>
      <w:jc w:val="right"/>
      <w:rPr>
        <w:rFonts w:ascii="Calibri" w:eastAsia="Tahoma" w:hAnsi="Calibri" w:cs="Calibri"/>
        <w:sz w:val="11"/>
        <w:szCs w:val="11"/>
      </w:rPr>
    </w:pPr>
    <w:hyperlink r:id="rId1">
      <w:r w:rsidR="009F500D" w:rsidRPr="009F500D">
        <w:rPr>
          <w:rFonts w:ascii="Calibri" w:eastAsia="Tahoma" w:hAnsi="Calibri" w:cs="Calibri"/>
          <w:sz w:val="11"/>
          <w:szCs w:val="11"/>
        </w:rPr>
        <w:t>prensa@saviacomunicacion.com.ar</w:t>
      </w:r>
    </w:hyperlink>
    <w:r w:rsidR="009F500D" w:rsidRPr="009F500D">
      <w:rPr>
        <w:rFonts w:ascii="Calibri" w:eastAsia="Tahoma" w:hAnsi="Calibri" w:cs="Calibri"/>
        <w:sz w:val="11"/>
        <w:szCs w:val="11"/>
      </w:rPr>
      <w:t xml:space="preserve"> </w:t>
    </w:r>
  </w:p>
  <w:p w14:paraId="1F346E61" w14:textId="77777777" w:rsidR="009F500D" w:rsidRPr="009F500D" w:rsidRDefault="00000000" w:rsidP="009F500D">
    <w:pPr>
      <w:jc w:val="right"/>
      <w:rPr>
        <w:rFonts w:ascii="Calibri" w:eastAsia="Tahoma" w:hAnsi="Calibri" w:cs="Calibri"/>
        <w:sz w:val="11"/>
        <w:szCs w:val="11"/>
      </w:rPr>
    </w:pPr>
    <w:hyperlink r:id="rId2" w:history="1">
      <w:r w:rsidR="009F500D" w:rsidRPr="009F500D">
        <w:rPr>
          <w:rStyle w:val="Hipervnculo"/>
          <w:rFonts w:ascii="Calibri" w:eastAsia="Tahoma" w:hAnsi="Calibri" w:cs="Calibri"/>
          <w:sz w:val="11"/>
          <w:szCs w:val="11"/>
        </w:rPr>
        <w:t>www.saviacomunicacion.com.ar</w:t>
      </w:r>
    </w:hyperlink>
  </w:p>
  <w:p w14:paraId="682A9B22" w14:textId="1C6BC670" w:rsidR="00E37FD6" w:rsidRPr="009F500D" w:rsidRDefault="009F500D" w:rsidP="009F500D">
    <w:pPr>
      <w:jc w:val="right"/>
      <w:rPr>
        <w:rFonts w:ascii="Calibri" w:eastAsia="Calibri" w:hAnsi="Calibri" w:cs="Calibri"/>
        <w:color w:val="000000"/>
        <w:sz w:val="11"/>
        <w:szCs w:val="11"/>
      </w:rPr>
    </w:pPr>
    <w:r w:rsidRPr="009F500D">
      <w:rPr>
        <w:rFonts w:ascii="Calibri" w:hAnsi="Calibri" w:cs="Calibri"/>
        <w:noProof/>
        <w:sz w:val="11"/>
        <w:szCs w:val="11"/>
      </w:rPr>
      <w:drawing>
        <wp:inline distT="0" distB="0" distL="0" distR="0" wp14:anchorId="46A304A9" wp14:editId="76F6A49A">
          <wp:extent cx="47708" cy="63445"/>
          <wp:effectExtent l="0" t="0" r="3175" b="63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90" cy="65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F500D">
      <w:rPr>
        <w:rFonts w:ascii="Calibri" w:hAnsi="Calibri" w:cs="Calibri"/>
        <w:sz w:val="11"/>
        <w:szCs w:val="11"/>
      </w:rPr>
      <w:t xml:space="preserve"> </w:t>
    </w:r>
    <w:proofErr w:type="spellStart"/>
    <w:r w:rsidRPr="009F500D">
      <w:rPr>
        <w:rFonts w:ascii="Calibri" w:eastAsia="Tahoma" w:hAnsi="Calibri" w:cs="Calibri"/>
        <w:sz w:val="11"/>
        <w:szCs w:val="11"/>
      </w:rPr>
      <w:t>savia.comunicacion</w:t>
    </w:r>
    <w:proofErr w:type="spellEnd"/>
    <w:r w:rsidRPr="009F500D">
      <w:rPr>
        <w:rFonts w:ascii="Calibri" w:eastAsia="Tahoma" w:hAnsi="Calibri" w:cs="Calibri"/>
        <w:sz w:val="11"/>
        <w:szCs w:val="11"/>
      </w:rPr>
      <w:t xml:space="preserve"> </w:t>
    </w:r>
    <w:r w:rsidRPr="009F500D">
      <w:rPr>
        <w:rFonts w:ascii="Calibri" w:eastAsia="Tahoma" w:hAnsi="Calibri" w:cs="Calibri"/>
        <w:noProof/>
        <w:sz w:val="11"/>
        <w:szCs w:val="11"/>
      </w:rPr>
      <w:drawing>
        <wp:inline distT="0" distB="0" distL="0" distR="0" wp14:anchorId="6F15A6A6" wp14:editId="2CA70E24">
          <wp:extent cx="86995" cy="63099"/>
          <wp:effectExtent l="0" t="0" r="1905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0" cy="66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F500D">
      <w:rPr>
        <w:rFonts w:ascii="Calibri" w:hAnsi="Calibri" w:cs="Calibri"/>
        <w:sz w:val="11"/>
        <w:szCs w:val="11"/>
      </w:rPr>
      <w:t xml:space="preserve">  </w:t>
    </w:r>
    <w:r w:rsidRPr="009F500D">
      <w:rPr>
        <w:rFonts w:ascii="Calibri" w:eastAsia="Tahoma" w:hAnsi="Calibri" w:cs="Calibri"/>
        <w:sz w:val="11"/>
        <w:szCs w:val="11"/>
      </w:rPr>
      <w:t xml:space="preserve">@saviaprensa </w:t>
    </w:r>
    <w:r w:rsidRPr="009F500D">
      <w:rPr>
        <w:rFonts w:ascii="Calibri" w:eastAsia="Tahoma" w:hAnsi="Calibri" w:cs="Calibri"/>
        <w:noProof/>
        <w:sz w:val="11"/>
        <w:szCs w:val="11"/>
      </w:rPr>
      <w:drawing>
        <wp:inline distT="0" distB="0" distL="0" distR="0" wp14:anchorId="1FD63AD8" wp14:editId="789C3A0C">
          <wp:extent cx="79513" cy="6361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77" cy="66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F500D">
      <w:rPr>
        <w:rFonts w:ascii="Calibri" w:hAnsi="Calibri" w:cs="Calibri"/>
        <w:sz w:val="11"/>
        <w:szCs w:val="11"/>
      </w:rPr>
      <w:t xml:space="preserve"> </w:t>
    </w:r>
    <w:proofErr w:type="spellStart"/>
    <w:r w:rsidRPr="009F500D">
      <w:rPr>
        <w:rFonts w:ascii="Calibri" w:eastAsia="Tahoma" w:hAnsi="Calibri" w:cs="Calibri"/>
        <w:sz w:val="11"/>
        <w:szCs w:val="11"/>
      </w:rPr>
      <w:t>saviacomunicacion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F4B" w14:textId="4BF26C8B" w:rsidR="00E37FD6" w:rsidRDefault="009F50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 xml:space="preserve"> </w:t>
    </w:r>
  </w:p>
  <w:p w14:paraId="7F448138" w14:textId="77777777" w:rsidR="009F500D" w:rsidRDefault="009F50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4449" w14:textId="77777777" w:rsidR="00E652A7" w:rsidRDefault="00E652A7">
      <w:r>
        <w:separator/>
      </w:r>
    </w:p>
  </w:footnote>
  <w:footnote w:type="continuationSeparator" w:id="0">
    <w:p w14:paraId="143F9D29" w14:textId="77777777" w:rsidR="00E652A7" w:rsidRDefault="00E6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AB2D" w14:textId="21C4C579" w:rsidR="00E37FD6" w:rsidRDefault="001600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136E89F9" wp14:editId="12AFCD22">
          <wp:simplePos x="0" y="0"/>
          <wp:positionH relativeFrom="page">
            <wp:posOffset>3320798</wp:posOffset>
          </wp:positionH>
          <wp:positionV relativeFrom="page">
            <wp:posOffset>427993</wp:posOffset>
          </wp:positionV>
          <wp:extent cx="1384300" cy="946079"/>
          <wp:effectExtent l="0" t="0" r="0" b="0"/>
          <wp:wrapNone/>
          <wp:docPr id="10737418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946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D5D4340" wp14:editId="7DE9ED66">
              <wp:simplePos x="0" y="0"/>
              <wp:positionH relativeFrom="page">
                <wp:posOffset>458470</wp:posOffset>
              </wp:positionH>
              <wp:positionV relativeFrom="page">
                <wp:posOffset>10017760</wp:posOffset>
              </wp:positionV>
              <wp:extent cx="2077336" cy="788952"/>
              <wp:effectExtent l="0" t="0" r="0" b="0"/>
              <wp:wrapNone/>
              <wp:docPr id="1073741839" name="Rectángulo 1073741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857" y="3395049"/>
                        <a:ext cx="2058286" cy="769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00761" w14:textId="77777777" w:rsidR="00E37FD6" w:rsidRDefault="001600D4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 release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5D4340" id="Rectángulo 1073741839" o:spid="_x0000_s1026" style="position:absolute;margin-left:36.1pt;margin-top:788.8pt;width:163.55pt;height:6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" filled="f" stroked="f">
              <v:textbox inset="0,0,0,0">
                <w:txbxContent>
                  <w:p w14:paraId="66500761" w14:textId="77777777" w:rsidR="00E37FD6" w:rsidRDefault="001600D4">
                    <w:pPr>
                      <w:spacing w:line="288" w:lineRule="auto"/>
                      <w:textDirection w:val="btLr"/>
                    </w:pPr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 release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8435" w14:textId="454FAA52" w:rsidR="00E37FD6" w:rsidRDefault="001600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61312" behindDoc="1" locked="0" layoutInCell="1" hidden="0" allowOverlap="1" wp14:anchorId="47C26ACA" wp14:editId="08879A55">
          <wp:simplePos x="0" y="0"/>
          <wp:positionH relativeFrom="page">
            <wp:posOffset>3320798</wp:posOffset>
          </wp:positionH>
          <wp:positionV relativeFrom="page">
            <wp:posOffset>427993</wp:posOffset>
          </wp:positionV>
          <wp:extent cx="1384300" cy="946079"/>
          <wp:effectExtent l="0" t="0" r="0" b="0"/>
          <wp:wrapNone/>
          <wp:docPr id="10737418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946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5386547" wp14:editId="6F9229AF">
              <wp:simplePos x="0" y="0"/>
              <wp:positionH relativeFrom="page">
                <wp:posOffset>458470</wp:posOffset>
              </wp:positionH>
              <wp:positionV relativeFrom="page">
                <wp:posOffset>10017760</wp:posOffset>
              </wp:positionV>
              <wp:extent cx="2077336" cy="788952"/>
              <wp:effectExtent l="0" t="0" r="0" b="0"/>
              <wp:wrapNone/>
              <wp:docPr id="1073741837" name="Rectángulo 10737418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857" y="3395049"/>
                        <a:ext cx="2058286" cy="769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A5FF8" w14:textId="77777777" w:rsidR="00E37FD6" w:rsidRDefault="001600D4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 release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86547" id="Rectángulo 1073741837" o:spid="_x0000_s1027" style="position:absolute;margin-left:36.1pt;margin-top:788.8pt;width:163.55pt;height:6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" filled="f" stroked="f">
              <v:textbox inset="0,0,0,0">
                <w:txbxContent>
                  <w:p w14:paraId="644A5FF8" w14:textId="77777777" w:rsidR="00E37FD6" w:rsidRDefault="001600D4">
                    <w:pPr>
                      <w:spacing w:line="288" w:lineRule="auto"/>
                      <w:textDirection w:val="btLr"/>
                    </w:pPr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 release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6"/>
    <w:rsid w:val="00143C1F"/>
    <w:rsid w:val="001600D4"/>
    <w:rsid w:val="001B4E1E"/>
    <w:rsid w:val="002C49DF"/>
    <w:rsid w:val="0034308E"/>
    <w:rsid w:val="00454889"/>
    <w:rsid w:val="004B703C"/>
    <w:rsid w:val="00596D06"/>
    <w:rsid w:val="00606FF6"/>
    <w:rsid w:val="00675AD2"/>
    <w:rsid w:val="0069709D"/>
    <w:rsid w:val="007746EE"/>
    <w:rsid w:val="0081012A"/>
    <w:rsid w:val="008A3534"/>
    <w:rsid w:val="008D799C"/>
    <w:rsid w:val="009214ED"/>
    <w:rsid w:val="009A40FD"/>
    <w:rsid w:val="009F500D"/>
    <w:rsid w:val="00AC4BB7"/>
    <w:rsid w:val="00AE188F"/>
    <w:rsid w:val="00C872E5"/>
    <w:rsid w:val="00CB09EB"/>
    <w:rsid w:val="00D60385"/>
    <w:rsid w:val="00D60F77"/>
    <w:rsid w:val="00E35B0D"/>
    <w:rsid w:val="00E378D3"/>
    <w:rsid w:val="00E37FD6"/>
    <w:rsid w:val="00E652A7"/>
    <w:rsid w:val="00EE0555"/>
    <w:rsid w:val="00EE5122"/>
    <w:rsid w:val="00F107E6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8C5A"/>
  <w15:docId w15:val="{4D894294-8E71-FB4E-A522-9CEF745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E6"/>
    <w:rPr>
      <w:lang w:val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val="en-US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A">
    <w:name w:val="Cuerpo A A"/>
    <w:rPr>
      <w:rFonts w:ascii="Calibri" w:eastAsia="Calibri" w:hAnsi="Calibri" w:cs="Calibri"/>
      <w:color w:val="000000"/>
      <w:u w:color="000000"/>
      <w:lang w:val="es-ES_tradnl"/>
    </w:rPr>
  </w:style>
  <w:style w:type="character" w:customStyle="1" w:styleId="Ninguno">
    <w:name w:val="Ninguno"/>
    <w:rPr>
      <w:lang w:val="en-US"/>
    </w:rPr>
  </w:style>
  <w:style w:type="character" w:customStyle="1" w:styleId="Hyperlink0">
    <w:name w:val="Hyperlink.0"/>
    <w:basedOn w:val="Ninguno"/>
    <w:rPr>
      <w:rFonts w:ascii="Tahoma" w:eastAsia="Tahoma" w:hAnsi="Tahoma" w:cs="Tahoma"/>
      <w:sz w:val="14"/>
      <w:szCs w:val="14"/>
      <w:lang w:val="en-US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character" w:customStyle="1" w:styleId="Hyperlink1">
    <w:name w:val="Hyperlink.1"/>
    <w:basedOn w:val="Ninguno"/>
    <w:rPr>
      <w:rFonts w:ascii="Tahoma" w:eastAsia="Tahoma" w:hAnsi="Tahoma" w:cs="Tahoma"/>
      <w:sz w:val="16"/>
      <w:szCs w:val="16"/>
      <w:lang w:val="en-US"/>
    </w:rPr>
  </w:style>
  <w:style w:type="paragraph" w:customStyle="1" w:styleId="CuerpoA">
    <w:name w:val="Cuerpo A"/>
    <w:rPr>
      <w:rFonts w:eastAsia="Arial Unicode MS" w:cs="Arial Unicode MS"/>
      <w:color w:val="000000"/>
      <w:u w:color="000000"/>
      <w:lang w:val="es-ES_tradnl"/>
    </w:rPr>
  </w:style>
  <w:style w:type="character" w:customStyle="1" w:styleId="NingunoA">
    <w:name w:val="Ninguno A"/>
    <w:basedOn w:val="Ninguno"/>
    <w:rPr>
      <w:lang w:val="en-US"/>
    </w:rPr>
  </w:style>
  <w:style w:type="character" w:customStyle="1" w:styleId="Hyperlink10">
    <w:name w:val="Hyperlink.1.0"/>
    <w:basedOn w:val="Ninguno"/>
    <w:rPr>
      <w:rFonts w:ascii="Noto Sans Light" w:eastAsia="Noto Sans Light" w:hAnsi="Noto Sans Light" w:cs="Noto Sans Light"/>
      <w:i/>
      <w:iCs/>
      <w:sz w:val="18"/>
      <w:szCs w:val="18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9A40FD"/>
    <w:pPr>
      <w:tabs>
        <w:tab w:val="center" w:pos="4419"/>
        <w:tab w:val="right" w:pos="8838"/>
      </w:tabs>
    </w:pPr>
    <w:rPr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40F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A40FD"/>
    <w:pPr>
      <w:tabs>
        <w:tab w:val="center" w:pos="4419"/>
        <w:tab w:val="right" w:pos="8838"/>
      </w:tabs>
    </w:pPr>
    <w:rPr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40FD"/>
    <w:rPr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107E6"/>
    <w:rPr>
      <w:b/>
      <w:sz w:val="36"/>
      <w:szCs w:val="3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107E6"/>
    <w:rPr>
      <w:b/>
      <w:sz w:val="28"/>
      <w:szCs w:val="28"/>
      <w:lang w:eastAsia="en-US"/>
    </w:rPr>
  </w:style>
  <w:style w:type="character" w:customStyle="1" w:styleId="ztplmc">
    <w:name w:val="ztplmc"/>
    <w:basedOn w:val="Fuentedeprrafopredeter"/>
    <w:rsid w:val="00F107E6"/>
  </w:style>
  <w:style w:type="character" w:customStyle="1" w:styleId="material-icons-extended">
    <w:name w:val="material-icons-extended"/>
    <w:basedOn w:val="Fuentedeprrafopredeter"/>
    <w:rsid w:val="00F107E6"/>
  </w:style>
  <w:style w:type="character" w:customStyle="1" w:styleId="hwtze">
    <w:name w:val="hwtze"/>
    <w:basedOn w:val="Fuentedeprrafopredeter"/>
    <w:rsid w:val="00F107E6"/>
  </w:style>
  <w:style w:type="character" w:customStyle="1" w:styleId="rynqvb">
    <w:name w:val="rynqvb"/>
    <w:basedOn w:val="Fuentedeprrafopredeter"/>
    <w:rsid w:val="00F107E6"/>
  </w:style>
  <w:style w:type="character" w:styleId="Mencinsinresolver">
    <w:name w:val="Unresolved Mention"/>
    <w:basedOn w:val="Fuentedeprrafopredeter"/>
    <w:uiPriority w:val="99"/>
    <w:semiHidden/>
    <w:unhideWhenUsed/>
    <w:rsid w:val="009F50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6D06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454889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.uplonlin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bL3IAoBG8c6L52PWag7ezgvIGA==">AMUW2mU6H/ic4CCS0NomZ2zL7AVmPYAw64S9z4f4pCmuY9nmQ1VLQ3utiOag8U6QrkzSr3wqiKwpBb109PMPHhJHQPUtlInKB0Ykxp9DtwEPXBEuS1c3MJM=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2023-05-30T21:50:00Z</dcterms:created>
  <dcterms:modified xsi:type="dcterms:W3CDTF">2023-05-31T20:42:00Z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eb2f65fa-4cb3-4413-808a-8cf283481de3</vt:lpwstr>
  </property>
  <property fmtid="{D5CDD505-2E9C-101B-9397-08002B2CF9AE}" pid="3" name="Classification">
    <vt:lpwstr>t_class_1</vt:lpwstr>
  </property>
</Properties>
</file>