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3F8F5" w14:textId="2EF41C78" w:rsidR="00990338" w:rsidRPr="006368A8" w:rsidRDefault="00307BA1" w:rsidP="0046632D">
      <w:pPr>
        <w:pBdr>
          <w:top w:val="nil"/>
          <w:left w:val="nil"/>
          <w:bottom w:val="nil"/>
          <w:right w:val="nil"/>
          <w:between w:val="nil"/>
        </w:pBdr>
        <w:rPr>
          <w:rFonts w:ascii="Noto Sans" w:eastAsia="Noto Sans" w:hAnsi="Noto Sans" w:cs="Noto Sans"/>
          <w:b/>
          <w:sz w:val="21"/>
          <w:szCs w:val="21"/>
        </w:rPr>
      </w:pPr>
      <w:r w:rsidRPr="006368A8">
        <w:rPr>
          <w:rFonts w:ascii="Noto Sans" w:eastAsia="Noto Sans" w:hAnsi="Noto Sans" w:cs="Noto Sans"/>
          <w:b/>
          <w:sz w:val="21"/>
          <w:szCs w:val="21"/>
        </w:rPr>
        <w:t xml:space="preserve">Meeting </w:t>
      </w:r>
      <w:proofErr w:type="spellStart"/>
      <w:r w:rsidRPr="006368A8">
        <w:rPr>
          <w:rFonts w:ascii="Noto Sans" w:eastAsia="Noto Sans" w:hAnsi="Noto Sans" w:cs="Noto Sans"/>
          <w:b/>
          <w:sz w:val="21"/>
          <w:szCs w:val="21"/>
        </w:rPr>
        <w:t>point</w:t>
      </w:r>
      <w:proofErr w:type="spellEnd"/>
      <w:r w:rsidRPr="006368A8">
        <w:rPr>
          <w:rFonts w:ascii="Noto Sans" w:eastAsia="Noto Sans" w:hAnsi="Noto Sans" w:cs="Noto Sans"/>
          <w:b/>
          <w:sz w:val="21"/>
          <w:szCs w:val="21"/>
        </w:rPr>
        <w:t xml:space="preserve"> UPL en Paraná</w:t>
      </w:r>
    </w:p>
    <w:p w14:paraId="0F5ADC99" w14:textId="5C4CCB06" w:rsidR="00D22FDF" w:rsidRPr="004A25BC" w:rsidRDefault="007F7A6C" w:rsidP="0046632D">
      <w:pPr>
        <w:pBdr>
          <w:top w:val="nil"/>
          <w:left w:val="nil"/>
          <w:bottom w:val="nil"/>
          <w:right w:val="nil"/>
          <w:between w:val="nil"/>
        </w:pBdr>
        <w:rPr>
          <w:rFonts w:ascii="Noto Sans" w:eastAsia="Noto Sans" w:hAnsi="Noto Sans" w:cs="Noto Sans"/>
          <w:b/>
          <w:sz w:val="32"/>
          <w:szCs w:val="32"/>
        </w:rPr>
      </w:pPr>
      <w:r>
        <w:rPr>
          <w:rFonts w:ascii="Noto Sans" w:eastAsia="Noto Sans" w:hAnsi="Noto Sans" w:cs="Noto Sans"/>
          <w:b/>
          <w:sz w:val="32"/>
          <w:szCs w:val="32"/>
        </w:rPr>
        <w:t>Para el control de malezas, el insumo básico es el conocimiento</w:t>
      </w:r>
    </w:p>
    <w:p w14:paraId="2BCD8EC8" w14:textId="77777777" w:rsidR="008A1C5E" w:rsidRPr="00811A09" w:rsidRDefault="008A1C5E" w:rsidP="004F7443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7FA6E878" w14:textId="04772C47" w:rsidR="001570B5" w:rsidRDefault="0099726E" w:rsidP="00C1762E">
      <w:pPr>
        <w:shd w:val="clear" w:color="auto" w:fill="FFFFFF"/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</w:pPr>
      <w:r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UPL </w:t>
      </w:r>
      <w:proofErr w:type="spellStart"/>
      <w:r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Corp</w:t>
      </w:r>
      <w:proofErr w:type="spellEnd"/>
      <w:r w:rsidR="001570B5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 Argentina</w:t>
      </w:r>
      <w:r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 </w:t>
      </w:r>
      <w:r w:rsidR="001570B5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reunió a su cadena de distribuidores</w:t>
      </w:r>
      <w:r w:rsidR="007F7A6C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, esta vez, en Paraná, Entre Ríos. El </w:t>
      </w:r>
      <w:proofErr w:type="spellStart"/>
      <w:r w:rsidR="007F7A6C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malezólogo</w:t>
      </w:r>
      <w:proofErr w:type="spellEnd"/>
      <w:r w:rsidR="007F7A6C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 Marcelo De La Vega concentró la atención en torno a una de las principales preocupaciones de la región.</w:t>
      </w:r>
    </w:p>
    <w:p w14:paraId="10543476" w14:textId="77777777" w:rsidR="00072C1F" w:rsidRDefault="00072C1F" w:rsidP="00C1762E">
      <w:pPr>
        <w:shd w:val="clear" w:color="auto" w:fill="FFFFFF"/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</w:pPr>
    </w:p>
    <w:p w14:paraId="1C55C003" w14:textId="77777777" w:rsidR="001570B5" w:rsidRDefault="001570B5" w:rsidP="00C1762E">
      <w:pPr>
        <w:shd w:val="clear" w:color="auto" w:fill="FFFFFF"/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</w:pPr>
    </w:p>
    <w:p w14:paraId="4AEDE2FE" w14:textId="69113DC1" w:rsidR="00BC5699" w:rsidRDefault="00870EC1" w:rsidP="00BC5699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Días atrás, </w:t>
      </w:r>
      <w:r w:rsidRPr="004A2FE6">
        <w:rPr>
          <w:rFonts w:ascii="Noto Sans Light" w:eastAsia="Noto Sans Light" w:hAnsi="Noto Sans Light" w:cs="Noto Sans Light"/>
          <w:color w:val="222222"/>
          <w:sz w:val="20"/>
          <w:szCs w:val="20"/>
        </w:rPr>
        <w:t>la Red de Manejo de Plagas (REM) de</w:t>
      </w:r>
      <w:r w:rsidRPr="00412E7C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proofErr w:type="spellStart"/>
      <w:r w:rsidRPr="00412E7C">
        <w:rPr>
          <w:rFonts w:ascii="Noto Sans Light" w:eastAsia="Noto Sans Light" w:hAnsi="Noto Sans Light" w:cs="Noto Sans Light"/>
          <w:color w:val="222222"/>
          <w:sz w:val="20"/>
          <w:szCs w:val="20"/>
        </w:rPr>
        <w:t>Aapresid</w:t>
      </w:r>
      <w:proofErr w:type="spellEnd"/>
      <w:r w:rsidRPr="00412E7C">
        <w:rPr>
          <w:rFonts w:ascii="Noto Sans Light" w:eastAsia="Noto Sans Light" w:hAnsi="Noto Sans Light" w:cs="Noto Sans Light"/>
          <w:color w:val="222222"/>
          <w:sz w:val="20"/>
          <w:szCs w:val="20"/>
        </w:rPr>
        <w:t> </w:t>
      </w:r>
      <w:r w:rsidRPr="004A2FE6">
        <w:rPr>
          <w:rFonts w:ascii="Noto Sans Light" w:eastAsia="Noto Sans Light" w:hAnsi="Noto Sans Light" w:cs="Noto Sans Light"/>
          <w:color w:val="222222"/>
          <w:sz w:val="20"/>
          <w:szCs w:val="20"/>
        </w:rPr>
        <w:t>actualizó el map</w:t>
      </w:r>
      <w:r w:rsidR="004A2FE6" w:rsidRPr="004A2FE6">
        <w:rPr>
          <w:rFonts w:ascii="Noto Sans Light" w:eastAsia="Noto Sans Light" w:hAnsi="Noto Sans Light" w:cs="Noto Sans Light"/>
          <w:color w:val="222222"/>
          <w:sz w:val="20"/>
          <w:szCs w:val="20"/>
        </w:rPr>
        <w:t>a</w:t>
      </w:r>
      <w:r w:rsidRPr="004A2FE6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de malezas</w:t>
      </w:r>
      <w:r w:rsidR="004A2FE6" w:rsidRPr="004A2FE6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presentes</w:t>
      </w:r>
      <w:r w:rsidRPr="004A2FE6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en la Argentina e identificó que</w:t>
      </w:r>
      <w:r w:rsidR="00412E7C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sobre </w:t>
      </w:r>
      <w:r w:rsidR="00412E7C" w:rsidRPr="00412E7C">
        <w:rPr>
          <w:rFonts w:ascii="Noto Sans Light" w:eastAsia="Noto Sans Light" w:hAnsi="Noto Sans Light" w:cs="Noto Sans Light"/>
          <w:color w:val="222222"/>
          <w:sz w:val="20"/>
          <w:szCs w:val="20"/>
        </w:rPr>
        <w:t>un total de 31 especies analizadas, las más frecuentes son</w:t>
      </w:r>
      <w:r w:rsidR="00412E7C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proofErr w:type="spellStart"/>
      <w:r w:rsidR="00412E7C" w:rsidRPr="00412E7C">
        <w:rPr>
          <w:rFonts w:ascii="Noto Sans Light" w:eastAsia="Noto Sans Light" w:hAnsi="Noto Sans Light" w:cs="Noto Sans Light"/>
          <w:color w:val="222222"/>
          <w:sz w:val="20"/>
          <w:szCs w:val="20"/>
        </w:rPr>
        <w:t>Conyza</w:t>
      </w:r>
      <w:proofErr w:type="spellEnd"/>
      <w:r w:rsidR="00412E7C" w:rsidRPr="00412E7C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</w:t>
      </w:r>
      <w:proofErr w:type="spellStart"/>
      <w:r w:rsidR="00412E7C" w:rsidRPr="00412E7C">
        <w:rPr>
          <w:rFonts w:ascii="Noto Sans Light" w:eastAsia="Noto Sans Light" w:hAnsi="Noto Sans Light" w:cs="Noto Sans Light"/>
          <w:color w:val="222222"/>
          <w:sz w:val="20"/>
          <w:szCs w:val="20"/>
        </w:rPr>
        <w:t>Amaranthus</w:t>
      </w:r>
      <w:proofErr w:type="spellEnd"/>
      <w:r w:rsidR="00412E7C" w:rsidRPr="00412E7C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Eleusine, </w:t>
      </w:r>
      <w:proofErr w:type="spellStart"/>
      <w:r w:rsidR="00412E7C" w:rsidRPr="00412E7C">
        <w:rPr>
          <w:rFonts w:ascii="Noto Sans Light" w:eastAsia="Noto Sans Light" w:hAnsi="Noto Sans Light" w:cs="Noto Sans Light"/>
          <w:color w:val="222222"/>
          <w:sz w:val="20"/>
          <w:szCs w:val="20"/>
        </w:rPr>
        <w:t>Echinochloa</w:t>
      </w:r>
      <w:proofErr w:type="spellEnd"/>
      <w:r w:rsidR="00412E7C" w:rsidRPr="00412E7C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</w:t>
      </w:r>
      <w:proofErr w:type="spellStart"/>
      <w:r w:rsidR="00412E7C" w:rsidRPr="00412E7C">
        <w:rPr>
          <w:rFonts w:ascii="Noto Sans Light" w:eastAsia="Noto Sans Light" w:hAnsi="Noto Sans Light" w:cs="Noto Sans Light"/>
          <w:color w:val="222222"/>
          <w:sz w:val="20"/>
          <w:szCs w:val="20"/>
        </w:rPr>
        <w:t>Sorghum</w:t>
      </w:r>
      <w:proofErr w:type="spellEnd"/>
      <w:r w:rsidR="00412E7C" w:rsidRPr="00412E7C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proofErr w:type="spellStart"/>
      <w:r w:rsidR="00412E7C" w:rsidRPr="00412E7C">
        <w:rPr>
          <w:rFonts w:ascii="Noto Sans Light" w:eastAsia="Noto Sans Light" w:hAnsi="Noto Sans Light" w:cs="Noto Sans Light"/>
          <w:color w:val="222222"/>
          <w:sz w:val="20"/>
          <w:szCs w:val="20"/>
        </w:rPr>
        <w:t>halepense</w:t>
      </w:r>
      <w:proofErr w:type="spellEnd"/>
      <w:r w:rsidR="00412E7C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</w:t>
      </w:r>
      <w:proofErr w:type="spellStart"/>
      <w:r w:rsidR="00412E7C" w:rsidRPr="00412E7C">
        <w:rPr>
          <w:rFonts w:ascii="Noto Sans Light" w:eastAsia="Noto Sans Light" w:hAnsi="Noto Sans Light" w:cs="Noto Sans Light"/>
          <w:color w:val="222222"/>
          <w:sz w:val="20"/>
          <w:szCs w:val="20"/>
        </w:rPr>
        <w:t>Commelina</w:t>
      </w:r>
      <w:proofErr w:type="spellEnd"/>
      <w:r w:rsidR="00412E7C" w:rsidRPr="00412E7C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</w:t>
      </w:r>
      <w:proofErr w:type="spellStart"/>
      <w:r w:rsidR="00412E7C" w:rsidRPr="00412E7C">
        <w:rPr>
          <w:rFonts w:ascii="Noto Sans Light" w:eastAsia="Noto Sans Light" w:hAnsi="Noto Sans Light" w:cs="Noto Sans Light"/>
          <w:color w:val="222222"/>
          <w:sz w:val="20"/>
          <w:szCs w:val="20"/>
        </w:rPr>
        <w:t>Chloris</w:t>
      </w:r>
      <w:proofErr w:type="spellEnd"/>
      <w:r w:rsidR="00412E7C" w:rsidRPr="00412E7C">
        <w:rPr>
          <w:rFonts w:ascii="Noto Sans Light" w:eastAsia="Noto Sans Light" w:hAnsi="Noto Sans Light" w:cs="Noto Sans Light"/>
          <w:color w:val="222222"/>
          <w:sz w:val="20"/>
          <w:szCs w:val="20"/>
        </w:rPr>
        <w:t>/</w:t>
      </w:r>
      <w:proofErr w:type="spellStart"/>
      <w:r w:rsidR="00412E7C" w:rsidRPr="00412E7C">
        <w:rPr>
          <w:rFonts w:ascii="Noto Sans Light" w:eastAsia="Noto Sans Light" w:hAnsi="Noto Sans Light" w:cs="Noto Sans Light"/>
          <w:color w:val="222222"/>
          <w:sz w:val="20"/>
          <w:szCs w:val="20"/>
        </w:rPr>
        <w:t>Trichloris</w:t>
      </w:r>
      <w:proofErr w:type="spellEnd"/>
      <w:r w:rsidR="00412E7C" w:rsidRPr="00412E7C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</w:t>
      </w:r>
      <w:proofErr w:type="spellStart"/>
      <w:r w:rsidR="00412E7C" w:rsidRPr="00412E7C">
        <w:rPr>
          <w:rFonts w:ascii="Noto Sans Light" w:eastAsia="Noto Sans Light" w:hAnsi="Noto Sans Light" w:cs="Noto Sans Light"/>
          <w:color w:val="222222"/>
          <w:sz w:val="20"/>
          <w:szCs w:val="20"/>
        </w:rPr>
        <w:t>Lolium</w:t>
      </w:r>
      <w:proofErr w:type="spellEnd"/>
      <w:r w:rsidR="00412E7C" w:rsidRPr="00412E7C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y </w:t>
      </w:r>
      <w:proofErr w:type="spellStart"/>
      <w:r w:rsidR="00412E7C" w:rsidRPr="00412E7C">
        <w:rPr>
          <w:rFonts w:ascii="Noto Sans Light" w:eastAsia="Noto Sans Light" w:hAnsi="Noto Sans Light" w:cs="Noto Sans Light"/>
          <w:color w:val="222222"/>
          <w:sz w:val="20"/>
          <w:szCs w:val="20"/>
        </w:rPr>
        <w:t>Pappophorum</w:t>
      </w:r>
      <w:proofErr w:type="spellEnd"/>
      <w:r w:rsidR="006368A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. También ratificó </w:t>
      </w:r>
      <w:r w:rsidR="00BC5699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que </w:t>
      </w:r>
      <w:r w:rsidR="00BC5699" w:rsidRPr="00BC5699">
        <w:rPr>
          <w:rFonts w:ascii="Noto Sans Light" w:eastAsia="Noto Sans Light" w:hAnsi="Noto Sans Light" w:cs="Noto Sans Light"/>
          <w:color w:val="222222"/>
          <w:sz w:val="20"/>
          <w:szCs w:val="20"/>
        </w:rPr>
        <w:t>t</w:t>
      </w:r>
      <w:r w:rsidR="00412E7C" w:rsidRPr="00BC5699">
        <w:rPr>
          <w:rFonts w:ascii="Noto Sans Light" w:eastAsia="Noto Sans Light" w:hAnsi="Noto Sans Light" w:cs="Noto Sans Light"/>
          <w:color w:val="222222"/>
          <w:sz w:val="20"/>
          <w:szCs w:val="20"/>
        </w:rPr>
        <w:t>odas las especies vienen incrementando su presencia año tras año</w:t>
      </w:r>
      <w:r w:rsidR="00BC5699" w:rsidRPr="00BC5699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. El manejo de malezas fue tema central del </w:t>
      </w:r>
      <w:r w:rsidR="00BC5699">
        <w:rPr>
          <w:rFonts w:ascii="Noto Sans Light" w:eastAsia="Noto Sans Light" w:hAnsi="Noto Sans Light" w:cs="Noto Sans Light"/>
          <w:color w:val="222222"/>
          <w:sz w:val="20"/>
          <w:szCs w:val="20"/>
        </w:rPr>
        <w:t>M</w:t>
      </w:r>
      <w:r w:rsidR="00BC5699" w:rsidRPr="009B57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eeting </w:t>
      </w:r>
      <w:r w:rsidR="00BC5699">
        <w:rPr>
          <w:rFonts w:ascii="Noto Sans Light" w:eastAsia="Noto Sans Light" w:hAnsi="Noto Sans Light" w:cs="Noto Sans Light"/>
          <w:color w:val="222222"/>
          <w:sz w:val="20"/>
          <w:szCs w:val="20"/>
        </w:rPr>
        <w:t>P</w:t>
      </w:r>
      <w:r w:rsidR="00BC5699" w:rsidRPr="009B57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oint </w:t>
      </w:r>
      <w:r w:rsidR="00BC5699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organizado por </w:t>
      </w:r>
      <w:r w:rsidR="00BC5699" w:rsidRPr="009B57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UPL </w:t>
      </w:r>
      <w:r w:rsidR="00BC5699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Corp. Argentina </w:t>
      </w:r>
      <w:r w:rsidR="00BC5699" w:rsidRPr="009B575A">
        <w:rPr>
          <w:rFonts w:ascii="Noto Sans Light" w:eastAsia="Noto Sans Light" w:hAnsi="Noto Sans Light" w:cs="Noto Sans Light"/>
          <w:color w:val="222222"/>
          <w:sz w:val="20"/>
          <w:szCs w:val="20"/>
        </w:rPr>
        <w:t>en Paraná</w:t>
      </w:r>
      <w:r w:rsidR="00BC5699">
        <w:rPr>
          <w:rFonts w:ascii="Noto Sans Light" w:eastAsia="Noto Sans Light" w:hAnsi="Noto Sans Light" w:cs="Noto Sans Light"/>
          <w:color w:val="222222"/>
          <w:sz w:val="20"/>
          <w:szCs w:val="20"/>
        </w:rPr>
        <w:t>. Allí, el docente</w:t>
      </w:r>
      <w:r w:rsidR="007F7A6C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BC5699">
        <w:rPr>
          <w:rFonts w:ascii="Noto Sans Light" w:eastAsia="Noto Sans Light" w:hAnsi="Noto Sans Light" w:cs="Noto Sans Light"/>
          <w:color w:val="222222"/>
          <w:sz w:val="20"/>
          <w:szCs w:val="20"/>
        </w:rPr>
        <w:t>Marcelo De La Vega</w:t>
      </w:r>
      <w:r w:rsidR="007F7A6C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especialista en </w:t>
      </w:r>
      <w:r w:rsidR="00072C1F">
        <w:rPr>
          <w:rFonts w:ascii="Noto Sans Light" w:eastAsia="Noto Sans Light" w:hAnsi="Noto Sans Light" w:cs="Noto Sans Light"/>
          <w:color w:val="222222"/>
          <w:sz w:val="20"/>
          <w:szCs w:val="20"/>
        </w:rPr>
        <w:t>terapéutica</w:t>
      </w:r>
      <w:r w:rsidR="007F7A6C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vegetal,</w:t>
      </w:r>
      <w:r w:rsidR="00BC5699" w:rsidRPr="009B57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BC5699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abordó las estrategias más recomendadas a la hora de abordar el problema en la región. </w:t>
      </w:r>
    </w:p>
    <w:p w14:paraId="6052CDF3" w14:textId="77777777" w:rsidR="007F7A6C" w:rsidRDefault="007F7A6C" w:rsidP="00BC5699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5CE49056" w14:textId="2BCB6764" w:rsidR="00C54F9A" w:rsidRDefault="00BC5699" w:rsidP="00C54F9A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proofErr w:type="spellStart"/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Borreria</w:t>
      </w:r>
      <w:proofErr w:type="spellEnd"/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rama negra y </w:t>
      </w:r>
      <w:proofErr w:type="spellStart"/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lolium</w:t>
      </w:r>
      <w:proofErr w:type="spellEnd"/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son, según </w:t>
      </w:r>
      <w:r w:rsidR="006368A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el </w:t>
      </w:r>
      <w:r w:rsidR="007F7A6C">
        <w:rPr>
          <w:rFonts w:ascii="Noto Sans Light" w:eastAsia="Noto Sans Light" w:hAnsi="Noto Sans Light" w:cs="Noto Sans Light"/>
          <w:color w:val="222222"/>
          <w:sz w:val="20"/>
          <w:szCs w:val="20"/>
        </w:rPr>
        <w:t>técnico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</w:t>
      </w:r>
      <w:r w:rsidR="00E1395E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tres de las especies que más dolores de cabeza le generan a los productores en la zona. </w:t>
      </w:r>
      <w:r w:rsidR="0008308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Y el foco de atención está en la </w:t>
      </w:r>
      <w:r w:rsidR="008C4D7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superposición de herbicidas residuales </w:t>
      </w:r>
      <w:r w:rsidR="00C54F9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en los barbechos </w:t>
      </w:r>
      <w:r w:rsidR="008C4D77">
        <w:rPr>
          <w:rFonts w:ascii="Noto Sans Light" w:eastAsia="Noto Sans Light" w:hAnsi="Noto Sans Light" w:cs="Noto Sans Light"/>
          <w:color w:val="222222"/>
          <w:sz w:val="20"/>
          <w:szCs w:val="20"/>
        </w:rPr>
        <w:t>(</w:t>
      </w:r>
      <w:proofErr w:type="spellStart"/>
      <w:r w:rsidR="008C4D77">
        <w:rPr>
          <w:rFonts w:ascii="Noto Sans Light" w:eastAsia="Noto Sans Light" w:hAnsi="Noto Sans Light" w:cs="Noto Sans Light"/>
          <w:color w:val="222222"/>
          <w:sz w:val="20"/>
          <w:szCs w:val="20"/>
        </w:rPr>
        <w:t>overlapping</w:t>
      </w:r>
      <w:proofErr w:type="spellEnd"/>
      <w:r w:rsidR="008C4D77">
        <w:rPr>
          <w:rFonts w:ascii="Noto Sans Light" w:eastAsia="Noto Sans Light" w:hAnsi="Noto Sans Light" w:cs="Noto Sans Light"/>
          <w:color w:val="222222"/>
          <w:sz w:val="20"/>
          <w:szCs w:val="20"/>
        </w:rPr>
        <w:t>)</w:t>
      </w:r>
      <w:r w:rsidR="00C54F9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y el uso de </w:t>
      </w:r>
      <w:proofErr w:type="spellStart"/>
      <w:r w:rsidR="00C54F9A">
        <w:rPr>
          <w:rFonts w:ascii="Noto Sans Light" w:eastAsia="Noto Sans Light" w:hAnsi="Noto Sans Light" w:cs="Noto Sans Light"/>
          <w:color w:val="222222"/>
          <w:sz w:val="20"/>
          <w:szCs w:val="20"/>
        </w:rPr>
        <w:t>postemergentes</w:t>
      </w:r>
      <w:proofErr w:type="spellEnd"/>
      <w:r w:rsidR="00C54F9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en malezas perennes. </w:t>
      </w:r>
    </w:p>
    <w:p w14:paraId="70FEFBBF" w14:textId="77777777" w:rsidR="007F7A6C" w:rsidRDefault="007F7A6C" w:rsidP="00C54F9A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2C2EDA7A" w14:textId="4480D5A8" w:rsidR="00C54F9A" w:rsidRDefault="00083088" w:rsidP="009B575A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“</w:t>
      </w:r>
      <w:r w:rsidR="009B575A" w:rsidRPr="009B57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Una de las primeras consideraciones </w:t>
      </w:r>
      <w:r w:rsidR="00C54F9A">
        <w:rPr>
          <w:rFonts w:ascii="Noto Sans Light" w:eastAsia="Noto Sans Light" w:hAnsi="Noto Sans Light" w:cs="Noto Sans Light"/>
          <w:color w:val="222222"/>
          <w:sz w:val="20"/>
          <w:szCs w:val="20"/>
        </w:rPr>
        <w:t>es</w:t>
      </w:r>
      <w:r w:rsidR="009B575A" w:rsidRPr="009B57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identificar dentro del espectro de malezas presentes en el lote cuál es la causante de los mayores problemas o las más difíciles de controlar</w:t>
      </w:r>
      <w:r w:rsidR="00C54F9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. La </w:t>
      </w:r>
      <w:r w:rsidR="009B575A" w:rsidRPr="009B575A">
        <w:rPr>
          <w:rFonts w:ascii="Noto Sans Light" w:eastAsia="Noto Sans Light" w:hAnsi="Noto Sans Light" w:cs="Noto Sans Light"/>
          <w:color w:val="222222"/>
          <w:sz w:val="20"/>
          <w:szCs w:val="20"/>
        </w:rPr>
        <w:t>“maleza driver” será la que determine las prácticas de manejo en el sistema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”, le dijo a los presentes De La Vega.</w:t>
      </w:r>
    </w:p>
    <w:p w14:paraId="62F3ED50" w14:textId="77777777" w:rsidR="007F7A6C" w:rsidRDefault="007F7A6C" w:rsidP="009B575A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738B07D2" w14:textId="09BDB3B0" w:rsidR="009B575A" w:rsidRDefault="00083088" w:rsidP="009B575A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“</w:t>
      </w:r>
      <w:r w:rsidR="009B575A" w:rsidRPr="009B57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Tomando una maleza como modelo de manejo 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y d</w:t>
      </w:r>
      <w:r w:rsidR="009B575A" w:rsidRPr="009B575A">
        <w:rPr>
          <w:rFonts w:ascii="Noto Sans Light" w:eastAsia="Noto Sans Light" w:hAnsi="Noto Sans Light" w:cs="Noto Sans Light"/>
          <w:color w:val="222222"/>
          <w:sz w:val="20"/>
          <w:szCs w:val="20"/>
        </w:rPr>
        <w:t>e acuerdo al ciclo del cultivo,</w:t>
      </w:r>
      <w:r w:rsidR="0060321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9B575A" w:rsidRPr="009B575A">
        <w:rPr>
          <w:rFonts w:ascii="Noto Sans Light" w:eastAsia="Noto Sans Light" w:hAnsi="Noto Sans Light" w:cs="Noto Sans Light"/>
          <w:color w:val="222222"/>
          <w:sz w:val="20"/>
          <w:szCs w:val="20"/>
        </w:rPr>
        <w:t>se pueden analizar diferentes prácticas basadas en herbicidas residuales, en aplicaciones únicas o en un solapamiento u overlapping considerando los tiempos hasta la siembra del cultivo y el período crítico de competencia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”, reflexionó</w:t>
      </w:r>
      <w:r w:rsidR="009B575A" w:rsidRPr="009B575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. </w:t>
      </w:r>
    </w:p>
    <w:p w14:paraId="3D40B083" w14:textId="77777777" w:rsidR="007F7A6C" w:rsidRDefault="007F7A6C" w:rsidP="009B575A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7B1A722A" w14:textId="443B9BC3" w:rsidR="007F7A6C" w:rsidRDefault="009B575A" w:rsidP="00870EC1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 w:rsidRPr="00FA7230">
        <w:rPr>
          <w:rFonts w:ascii="Noto Sans Light" w:eastAsia="Noto Sans Light" w:hAnsi="Noto Sans Light" w:cs="Noto Sans Light"/>
          <w:color w:val="222222"/>
          <w:sz w:val="20"/>
          <w:szCs w:val="20"/>
        </w:rPr>
        <w:t>En el caso de malezas anuales,</w:t>
      </w:r>
      <w:r w:rsidR="0008308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el especialista</w:t>
      </w:r>
      <w:r w:rsidRPr="00FA7230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hi</w:t>
      </w:r>
      <w:r w:rsidR="00083088">
        <w:rPr>
          <w:rFonts w:ascii="Noto Sans Light" w:eastAsia="Noto Sans Light" w:hAnsi="Noto Sans Light" w:cs="Noto Sans Light"/>
          <w:color w:val="222222"/>
          <w:sz w:val="20"/>
          <w:szCs w:val="20"/>
        </w:rPr>
        <w:t>zo</w:t>
      </w:r>
      <w:r w:rsidRPr="00FA7230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hincapié en herbicidas como Amicarbazone (</w:t>
      </w:r>
      <w:r w:rsidR="00603217">
        <w:rPr>
          <w:rFonts w:ascii="Noto Sans Light" w:eastAsia="Noto Sans Light" w:hAnsi="Noto Sans Light" w:cs="Noto Sans Light"/>
          <w:color w:val="222222"/>
          <w:sz w:val="20"/>
          <w:szCs w:val="20"/>
        </w:rPr>
        <w:t>DINAMIC®</w:t>
      </w:r>
      <w:r w:rsidRPr="00FA7230">
        <w:rPr>
          <w:rFonts w:ascii="Noto Sans Light" w:eastAsia="Noto Sans Light" w:hAnsi="Noto Sans Light" w:cs="Noto Sans Light"/>
          <w:color w:val="222222"/>
          <w:sz w:val="20"/>
          <w:szCs w:val="20"/>
        </w:rPr>
        <w:t>) para llegar sin malezas a la siembra de maíz en</w:t>
      </w:r>
      <w:r w:rsidR="0060321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el</w:t>
      </w:r>
      <w:r w:rsidRPr="00FA7230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caso de </w:t>
      </w:r>
      <w:r w:rsidR="00603217">
        <w:rPr>
          <w:rFonts w:ascii="Noto Sans Light" w:eastAsia="Noto Sans Light" w:hAnsi="Noto Sans Light" w:cs="Noto Sans Light"/>
          <w:color w:val="222222"/>
          <w:sz w:val="20"/>
          <w:szCs w:val="20"/>
        </w:rPr>
        <w:t>las siembras tardías</w:t>
      </w:r>
      <w:r w:rsidRPr="00FA7230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o bien en preemergencia para </w:t>
      </w:r>
      <w:r w:rsidR="00603217">
        <w:rPr>
          <w:rFonts w:ascii="Noto Sans Light" w:eastAsia="Noto Sans Light" w:hAnsi="Noto Sans Light" w:cs="Noto Sans Light"/>
          <w:color w:val="222222"/>
          <w:sz w:val="20"/>
          <w:szCs w:val="20"/>
        </w:rPr>
        <w:t>las siembras</w:t>
      </w:r>
      <w:r w:rsidR="007F7A6C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Pr="00FA7230">
        <w:rPr>
          <w:rFonts w:ascii="Noto Sans Light" w:eastAsia="Noto Sans Light" w:hAnsi="Noto Sans Light" w:cs="Noto Sans Light"/>
          <w:color w:val="222222"/>
          <w:sz w:val="20"/>
          <w:szCs w:val="20"/>
        </w:rPr>
        <w:t>tempran</w:t>
      </w:r>
      <w:r w:rsidR="00603217">
        <w:rPr>
          <w:rFonts w:ascii="Noto Sans Light" w:eastAsia="Noto Sans Light" w:hAnsi="Noto Sans Light" w:cs="Noto Sans Light"/>
          <w:color w:val="222222"/>
          <w:sz w:val="20"/>
          <w:szCs w:val="20"/>
        </w:rPr>
        <w:t>a</w:t>
      </w:r>
      <w:r w:rsidRPr="00FA7230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s que requieren un producto de mayor </w:t>
      </w:r>
      <w:r w:rsidR="00072C1F">
        <w:rPr>
          <w:rFonts w:ascii="Noto Sans Light" w:eastAsia="Noto Sans Light" w:hAnsi="Noto Sans Light" w:cs="Noto Sans Light"/>
          <w:color w:val="222222"/>
          <w:sz w:val="20"/>
          <w:szCs w:val="20"/>
        </w:rPr>
        <w:t>persistencia</w:t>
      </w:r>
      <w:r w:rsidR="0060321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. </w:t>
      </w:r>
    </w:p>
    <w:p w14:paraId="0BAE9058" w14:textId="77777777" w:rsidR="007F7A6C" w:rsidRDefault="007F7A6C" w:rsidP="00870EC1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76FE6D0A" w14:textId="7796A690" w:rsidR="00870EC1" w:rsidRDefault="00603217" w:rsidP="00870EC1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También </w:t>
      </w:r>
      <w:r w:rsidR="009B575A" w:rsidRPr="00FA7230">
        <w:rPr>
          <w:rFonts w:ascii="Noto Sans Light" w:eastAsia="Noto Sans Light" w:hAnsi="Noto Sans Light" w:cs="Noto Sans Light"/>
          <w:color w:val="222222"/>
          <w:sz w:val="20"/>
          <w:szCs w:val="20"/>
        </w:rPr>
        <w:t>analiz</w:t>
      </w:r>
      <w:r w:rsidR="00083088">
        <w:rPr>
          <w:rFonts w:ascii="Noto Sans Light" w:eastAsia="Noto Sans Light" w:hAnsi="Noto Sans Light" w:cs="Noto Sans Light"/>
          <w:color w:val="222222"/>
          <w:sz w:val="20"/>
          <w:szCs w:val="20"/>
        </w:rPr>
        <w:t>ó</w:t>
      </w:r>
      <w:r w:rsidR="009B575A" w:rsidRPr="00FA7230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072C1F" w:rsidRPr="00072C1F">
        <w:rPr>
          <w:rFonts w:ascii="Noto Sans Light" w:eastAsia="Noto Sans Light" w:hAnsi="Noto Sans Light" w:cs="Noto Sans Light"/>
          <w:color w:val="222222"/>
          <w:sz w:val="20"/>
          <w:szCs w:val="20"/>
        </w:rPr>
        <w:t>la incorporación a las mezclas de herbicidas productos que amplíen el control hacia las gramíneas</w:t>
      </w:r>
      <w:r w:rsidR="00072C1F" w:rsidRPr="00072C1F">
        <w:rPr>
          <w:rFonts w:ascii="Noto Sans Light" w:eastAsia="Noto Sans Light" w:hAnsi="Noto Sans Light" w:cs="Noto Sans Light"/>
          <w:color w:val="222222"/>
          <w:sz w:val="20"/>
          <w:szCs w:val="20"/>
        </w:rPr>
        <w:t>,</w:t>
      </w:r>
      <w:r w:rsidR="009B575A" w:rsidRPr="00FA7230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como 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s-</w:t>
      </w:r>
      <w:proofErr w:type="spellStart"/>
      <w:r w:rsidR="009B575A" w:rsidRPr="00FA7230">
        <w:rPr>
          <w:rFonts w:ascii="Noto Sans Light" w:eastAsia="Noto Sans Light" w:hAnsi="Noto Sans Light" w:cs="Noto Sans Light"/>
          <w:color w:val="222222"/>
          <w:sz w:val="20"/>
          <w:szCs w:val="20"/>
        </w:rPr>
        <w:t>metolacloro</w:t>
      </w:r>
      <w:proofErr w:type="spellEnd"/>
      <w:r w:rsidR="009B575A" w:rsidRPr="00FA7230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o </w:t>
      </w:r>
      <w:proofErr w:type="spellStart"/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p</w:t>
      </w:r>
      <w:r w:rsidR="009B575A" w:rsidRPr="00FA7230">
        <w:rPr>
          <w:rFonts w:ascii="Noto Sans Light" w:eastAsia="Noto Sans Light" w:hAnsi="Noto Sans Light" w:cs="Noto Sans Light"/>
          <w:color w:val="222222"/>
          <w:sz w:val="20"/>
          <w:szCs w:val="20"/>
        </w:rPr>
        <w:t>iroxasulfon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e</w:t>
      </w:r>
      <w:proofErr w:type="spellEnd"/>
      <w:r w:rsidR="009B575A" w:rsidRPr="00FA7230">
        <w:rPr>
          <w:rFonts w:ascii="Noto Sans Light" w:eastAsia="Noto Sans Light" w:hAnsi="Noto Sans Light" w:cs="Noto Sans Light"/>
          <w:color w:val="222222"/>
          <w:sz w:val="20"/>
          <w:szCs w:val="20"/>
        </w:rPr>
        <w:t>.</w:t>
      </w:r>
      <w:r w:rsidR="0008308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Como dato, </w:t>
      </w:r>
      <w:r w:rsidR="00870EC1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UPL lanzó este </w:t>
      </w:r>
      <w:r w:rsidR="00870EC1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año WINGER</w:t>
      </w:r>
      <w:r w:rsidR="00870EC1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®, </w:t>
      </w:r>
      <w:r w:rsidR="00870EC1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que es </w:t>
      </w:r>
      <w:proofErr w:type="spellStart"/>
      <w:r w:rsidR="00870EC1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piroxa</w:t>
      </w:r>
      <w:r w:rsidR="00870EC1">
        <w:rPr>
          <w:rFonts w:ascii="Noto Sans Light" w:eastAsia="Noto Sans Light" w:hAnsi="Noto Sans Light" w:cs="Noto Sans Light"/>
          <w:color w:val="222222"/>
          <w:sz w:val="20"/>
          <w:szCs w:val="20"/>
        </w:rPr>
        <w:t>s</w:t>
      </w:r>
      <w:r w:rsidR="00870EC1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ulfone</w:t>
      </w:r>
      <w:proofErr w:type="spellEnd"/>
      <w:r w:rsidR="00870EC1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al 85% WDG</w:t>
      </w:r>
      <w:r w:rsidR="006368A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y </w:t>
      </w:r>
      <w:r w:rsidR="006368A8">
        <w:rPr>
          <w:rFonts w:ascii="Noto Sans Light" w:eastAsia="Noto Sans Light" w:hAnsi="Noto Sans Light" w:cs="Noto Sans Light"/>
          <w:color w:val="222222"/>
          <w:sz w:val="20"/>
          <w:szCs w:val="20"/>
        </w:rPr>
        <w:lastRenderedPageBreak/>
        <w:t>t</w:t>
      </w:r>
      <w:r w:rsidR="006368A8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iene registro </w:t>
      </w:r>
      <w:r w:rsidR="006368A8">
        <w:rPr>
          <w:rFonts w:ascii="Noto Sans Light" w:eastAsia="Noto Sans Light" w:hAnsi="Noto Sans Light" w:cs="Noto Sans Light"/>
          <w:color w:val="222222"/>
          <w:sz w:val="20"/>
          <w:szCs w:val="20"/>
        </w:rPr>
        <w:t>para</w:t>
      </w:r>
      <w:r w:rsidR="006368A8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trigo, cebada, soja y maíz.</w:t>
      </w:r>
      <w:r w:rsidR="006368A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Es</w:t>
      </w:r>
      <w:r w:rsidR="00870EC1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870EC1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una herramienta fundamental para </w:t>
      </w:r>
      <w:r w:rsidR="00870EC1">
        <w:rPr>
          <w:rFonts w:ascii="Noto Sans Light" w:eastAsia="Noto Sans Light" w:hAnsi="Noto Sans Light" w:cs="Noto Sans Light"/>
          <w:color w:val="222222"/>
          <w:sz w:val="20"/>
          <w:szCs w:val="20"/>
        </w:rPr>
        <w:t>la</w:t>
      </w:r>
      <w:r w:rsidR="00870EC1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problemática de malezas, principalmente </w:t>
      </w:r>
      <w:r w:rsidR="00870EC1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para </w:t>
      </w:r>
      <w:proofErr w:type="spellStart"/>
      <w:r w:rsidR="00870EC1">
        <w:rPr>
          <w:rFonts w:ascii="Noto Sans Light" w:eastAsia="Noto Sans Light" w:hAnsi="Noto Sans Light" w:cs="Noto Sans Light"/>
          <w:color w:val="222222"/>
          <w:sz w:val="20"/>
          <w:szCs w:val="20"/>
        </w:rPr>
        <w:t>A</w:t>
      </w:r>
      <w:r w:rsidR="00870EC1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>maranthus</w:t>
      </w:r>
      <w:proofErr w:type="spellEnd"/>
      <w:r w:rsidR="00870EC1" w:rsidRPr="00031AC2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y gramíneas</w:t>
      </w:r>
      <w:r w:rsidR="006368A8">
        <w:rPr>
          <w:rFonts w:ascii="Noto Sans Light" w:eastAsia="Noto Sans Light" w:hAnsi="Noto Sans Light" w:cs="Noto Sans Light"/>
          <w:color w:val="222222"/>
          <w:sz w:val="20"/>
          <w:szCs w:val="20"/>
        </w:rPr>
        <w:t>.</w:t>
      </w:r>
      <w:r w:rsidR="00870EC1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</w:p>
    <w:p w14:paraId="45DEA1DF" w14:textId="77777777" w:rsidR="007F7A6C" w:rsidRDefault="007F7A6C" w:rsidP="00870EC1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28C6F1D2" w14:textId="460DAF2E" w:rsidR="009B575A" w:rsidRPr="00FA7230" w:rsidRDefault="00083088" w:rsidP="00FA7230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El docente de la Universidad de Tucumán sostuvo que e</w:t>
      </w:r>
      <w:r w:rsidR="0060321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l sorgo de Alepo es otra de las malezas que continúan siendo un problema. En este caso, la sugerencia de fue realizar un </w:t>
      </w:r>
      <w:r w:rsidR="009B575A" w:rsidRPr="00FA7230">
        <w:rPr>
          <w:rFonts w:ascii="Noto Sans Light" w:eastAsia="Noto Sans Light" w:hAnsi="Noto Sans Light" w:cs="Noto Sans Light"/>
          <w:color w:val="222222"/>
          <w:sz w:val="20"/>
          <w:szCs w:val="20"/>
        </w:rPr>
        <w:t>manejo en barbecho con diferentes herbicidas de varios mecanismos de acción</w:t>
      </w:r>
      <w:r w:rsidR="00603217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con el fin de rotar y disminuir la aparición de resistencias. En este contexto </w:t>
      </w:r>
      <w:r w:rsidR="007F7A6C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mencionó a </w:t>
      </w:r>
      <w:proofErr w:type="spellStart"/>
      <w:r w:rsidR="009B575A" w:rsidRPr="00FA7230">
        <w:rPr>
          <w:rFonts w:ascii="Noto Sans Light" w:eastAsia="Noto Sans Light" w:hAnsi="Noto Sans Light" w:cs="Noto Sans Light"/>
          <w:color w:val="222222"/>
          <w:sz w:val="20"/>
          <w:szCs w:val="20"/>
        </w:rPr>
        <w:t>Asulam</w:t>
      </w:r>
      <w:proofErr w:type="spellEnd"/>
      <w:r w:rsidR="009B575A" w:rsidRPr="00FA7230">
        <w:rPr>
          <w:rFonts w:ascii="Noto Sans Light" w:eastAsia="Noto Sans Light" w:hAnsi="Noto Sans Light" w:cs="Noto Sans Light"/>
          <w:color w:val="222222"/>
          <w:sz w:val="20"/>
          <w:szCs w:val="20"/>
        </w:rPr>
        <w:t>, debido a su mecanismo de acción único</w:t>
      </w:r>
      <w:r w:rsidR="00603217">
        <w:rPr>
          <w:rFonts w:ascii="Noto Sans Light" w:eastAsia="Noto Sans Light" w:hAnsi="Noto Sans Light" w:cs="Noto Sans Light"/>
          <w:color w:val="222222"/>
          <w:sz w:val="20"/>
          <w:szCs w:val="20"/>
        </w:rPr>
        <w:t>.</w:t>
      </w:r>
    </w:p>
    <w:p w14:paraId="0ACCA766" w14:textId="77777777" w:rsidR="007F7A6C" w:rsidRDefault="007F7A6C" w:rsidP="00FA7230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7337BD08" w14:textId="6AA56422" w:rsidR="009B575A" w:rsidRDefault="007F7A6C" w:rsidP="00FA7230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Al abordar </w:t>
      </w:r>
      <w:r w:rsidR="009B575A" w:rsidRPr="00FA7230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el caso de Borreria sp, una </w:t>
      </w:r>
      <w:r w:rsidR="006368A8">
        <w:rPr>
          <w:rFonts w:ascii="Noto Sans Light" w:eastAsia="Noto Sans Light" w:hAnsi="Noto Sans Light" w:cs="Noto Sans Light"/>
          <w:color w:val="222222"/>
          <w:sz w:val="20"/>
          <w:szCs w:val="20"/>
        </w:rPr>
        <w:t>especie</w:t>
      </w:r>
      <w:r w:rsidR="009B575A" w:rsidRPr="00FA7230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de gran crecimiento y dificultad de manejo, 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el foco fue puesto en </w:t>
      </w:r>
      <w:r w:rsidR="009B575A" w:rsidRPr="00FA7230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la sinergia entre herbicidas cuyo mecanismo de acción es PPO, como flumioxazin y  glufosinato, que pueden ser utilizados para el desecamiento de 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la</w:t>
      </w:r>
      <w:r w:rsidR="009B575A" w:rsidRPr="00FA7230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maleza.</w:t>
      </w:r>
    </w:p>
    <w:p w14:paraId="36C178CD" w14:textId="77777777" w:rsidR="007F7A6C" w:rsidRDefault="007F7A6C" w:rsidP="00FA7230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49AD636C" w14:textId="42C473DD" w:rsidR="009B575A" w:rsidRPr="006368A8" w:rsidRDefault="00FC51E1" w:rsidP="009D1D88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En torno al tema, el Meeting Point de UPL en Paraná dejó una clara conclusión compartida: “hay que tomarse el tiempo para entender los ambientes y la dinámica de las malezas en cada lote</w:t>
      </w:r>
      <w:r w:rsidR="007F7A6C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. 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Para proteger los cultivos el principal insumo es el conocimiento”. </w:t>
      </w:r>
    </w:p>
    <w:p w14:paraId="7C62481D" w14:textId="77777777" w:rsidR="009B575A" w:rsidRPr="009D1D88" w:rsidRDefault="009B575A" w:rsidP="009D1D88">
      <w:pPr>
        <w:shd w:val="clear" w:color="auto" w:fill="FFFFFF"/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  <w:lang w:val="es-MX"/>
        </w:rPr>
      </w:pPr>
    </w:p>
    <w:p w14:paraId="118FD690" w14:textId="77777777" w:rsidR="009D1D88" w:rsidRPr="009D1D88" w:rsidRDefault="008A1305" w:rsidP="009D1D88">
      <w:pPr>
        <w:shd w:val="clear" w:color="auto" w:fill="FFFFFF"/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  <w:lang w:val="es-MX"/>
        </w:rPr>
      </w:pPr>
      <w:r w:rsidRPr="009D1D88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  <w:lang w:val="es-MX"/>
        </w:rPr>
        <w:t>Acerca de UPL</w:t>
      </w:r>
      <w:r w:rsidR="009D1D88" w:rsidRPr="009D1D88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  <w:lang w:val="es-MX"/>
        </w:rPr>
        <w:t xml:space="preserve"> Corp</w:t>
      </w:r>
    </w:p>
    <w:p w14:paraId="5626FC45" w14:textId="77777777" w:rsidR="008A1305" w:rsidRDefault="009D1D88" w:rsidP="009D1D88">
      <w:pPr>
        <w:shd w:val="clear" w:color="auto" w:fill="FFFFFF"/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  <w:lang w:val="es-MX"/>
        </w:rPr>
      </w:pPr>
      <w:r w:rsidRPr="009D1D88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  <w:lang w:val="es-MX"/>
        </w:rPr>
        <w:t>UPL Corporation Ltd. (UPL Corp) es una empresa líder mundial en soluciones de protección de cultivos y biológicas que define el futuro a través de la agricultura sostenible y una mentalidad orientada al productor agrícola. Con un sólido portafolio de soluciones integrales, UPL Corp tiene como objetivo crear un crecimiento y prosperidad compartidos para las comunidades agrícolas, la agricultura y nuestro planeta. Como la plataforma principal de UPL Group, UPL Corp contribuye con más de $5 mil millones en ingresos anuales y es líder en fomentar la colaboración a través de OpenAg® para desarrollar tecnologías avanzadas para la salud y productividad de los cultivos.</w:t>
      </w:r>
    </w:p>
    <w:p w14:paraId="3D5274E6" w14:textId="3DC4EFE0" w:rsidR="00C134C0" w:rsidRPr="00C134C0" w:rsidRDefault="00C134C0" w:rsidP="009D1D88">
      <w:pPr>
        <w:shd w:val="clear" w:color="auto" w:fill="FFFFFF"/>
        <w:rPr>
          <w:rFonts w:ascii="Noto Sans Light" w:eastAsia="Noto Sans Light" w:hAnsi="Noto Sans Light" w:cs="Noto Sans Light"/>
          <w:i/>
          <w:iCs/>
          <w:color w:val="222222"/>
          <w:sz w:val="36"/>
          <w:szCs w:val="36"/>
          <w:lang w:val="es-MX"/>
        </w:rPr>
      </w:pPr>
    </w:p>
    <w:sectPr w:rsidR="00C134C0" w:rsidRPr="00C134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3007" w:right="2257" w:bottom="1744" w:left="225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E0960" w14:textId="77777777" w:rsidR="00354606" w:rsidRDefault="00354606">
      <w:r>
        <w:separator/>
      </w:r>
    </w:p>
  </w:endnote>
  <w:endnote w:type="continuationSeparator" w:id="0">
    <w:p w14:paraId="14A14295" w14:textId="77777777" w:rsidR="00354606" w:rsidRDefault="0035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001" w:csb1="00000000"/>
  </w:font>
  <w:font w:name="Noto Sans Light">
    <w:panose1 w:val="020B0604020202020204"/>
    <w:charset w:val="00"/>
    <w:family w:val="swiss"/>
    <w:pitch w:val="variable"/>
    <w:sig w:usb0="E00002FF" w:usb1="4000001F" w:usb2="08000029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5C3FC" w14:textId="77777777" w:rsidR="009357AB" w:rsidRDefault="009357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0A0FD" w14:textId="77777777" w:rsidR="009357AB" w:rsidRDefault="009650DE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color w:val="000000"/>
        <w:sz w:val="11"/>
        <w:szCs w:val="11"/>
      </w:rPr>
    </w:pPr>
    <w:r>
      <w:rPr>
        <w:rFonts w:ascii="Calibri" w:eastAsia="Calibri" w:hAnsi="Calibri" w:cs="Calibri"/>
        <w:color w:val="000000"/>
        <w:sz w:val="11"/>
        <w:szCs w:val="11"/>
      </w:rPr>
      <w:t xml:space="preserve">Prensa: </w:t>
    </w:r>
  </w:p>
  <w:p w14:paraId="06AA6318" w14:textId="2586E6A2" w:rsidR="00D330BE" w:rsidRPr="00D330BE" w:rsidRDefault="00D330BE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color w:val="000000" w:themeColor="text1"/>
        <w:sz w:val="11"/>
        <w:szCs w:val="11"/>
      </w:rPr>
    </w:pPr>
    <w:r>
      <w:rPr>
        <w:rStyle w:val="Hipervnculo"/>
        <w:rFonts w:ascii="Calibri" w:eastAsia="Calibri" w:hAnsi="Calibri" w:cs="Calibri"/>
        <w:color w:val="000000" w:themeColor="text1"/>
        <w:sz w:val="11"/>
        <w:szCs w:val="11"/>
        <w:u w:val="none"/>
      </w:rPr>
      <w:t xml:space="preserve">+54 9 </w:t>
    </w:r>
    <w:r w:rsidRPr="00D330BE">
      <w:rPr>
        <w:rStyle w:val="Hipervnculo"/>
        <w:rFonts w:ascii="Calibri" w:eastAsia="Calibri" w:hAnsi="Calibri" w:cs="Calibri"/>
        <w:color w:val="000000" w:themeColor="text1"/>
        <w:sz w:val="11"/>
        <w:szCs w:val="11"/>
        <w:u w:val="none"/>
      </w:rPr>
      <w:t>11 6967 2255</w:t>
    </w:r>
    <w:r w:rsidR="00140F69">
      <w:rPr>
        <w:rStyle w:val="Hipervnculo"/>
        <w:rFonts w:ascii="Calibri" w:eastAsia="Calibri" w:hAnsi="Calibri" w:cs="Calibri"/>
        <w:color w:val="000000" w:themeColor="text1"/>
        <w:sz w:val="11"/>
        <w:szCs w:val="11"/>
        <w:u w:val="none"/>
      </w:rPr>
      <w:t xml:space="preserve"> </w:t>
    </w:r>
    <w:r w:rsidR="00140F69" w:rsidRPr="00140F69">
      <w:rPr>
        <w:rStyle w:val="Hipervnculo"/>
        <w:rFonts w:ascii="Calibri" w:eastAsia="Calibri" w:hAnsi="Calibri" w:cs="Calibri"/>
        <w:color w:val="000000" w:themeColor="text1"/>
        <w:sz w:val="11"/>
        <w:szCs w:val="11"/>
        <w:u w:val="none"/>
      </w:rPr>
      <w:t>+54 9 2355 647958</w:t>
    </w:r>
  </w:p>
  <w:p w14:paraId="430472AF" w14:textId="1CB06A3C" w:rsidR="00D330BE" w:rsidRDefault="00000000" w:rsidP="00D330BE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color w:val="000000"/>
        <w:sz w:val="11"/>
        <w:szCs w:val="11"/>
      </w:rPr>
    </w:pPr>
    <w:hyperlink r:id="rId1" w:history="1">
      <w:r w:rsidR="00D330BE" w:rsidRPr="00A733CC">
        <w:rPr>
          <w:rStyle w:val="Hipervnculo"/>
          <w:rFonts w:ascii="Calibri" w:eastAsia="Calibri" w:hAnsi="Calibri" w:cs="Calibri"/>
          <w:sz w:val="11"/>
          <w:szCs w:val="11"/>
        </w:rPr>
        <w:t>prensa@saviacomunicacion.com.ar</w:t>
      </w:r>
    </w:hyperlink>
    <w:r w:rsidR="009650DE">
      <w:rPr>
        <w:rFonts w:ascii="Calibri" w:eastAsia="Calibri" w:hAnsi="Calibri" w:cs="Calibri"/>
        <w:color w:val="000000"/>
        <w:sz w:val="11"/>
        <w:szCs w:val="11"/>
      </w:rPr>
      <w:t xml:space="preserve"> </w:t>
    </w:r>
  </w:p>
  <w:p w14:paraId="6CE313C8" w14:textId="77777777" w:rsidR="009357AB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color w:val="000000"/>
        <w:sz w:val="11"/>
        <w:szCs w:val="11"/>
      </w:rPr>
    </w:pPr>
    <w:hyperlink r:id="rId2">
      <w:r w:rsidR="009650DE">
        <w:rPr>
          <w:rFonts w:ascii="Calibri" w:eastAsia="Calibri" w:hAnsi="Calibri" w:cs="Calibri"/>
          <w:color w:val="000000"/>
          <w:sz w:val="11"/>
          <w:szCs w:val="11"/>
        </w:rPr>
        <w:t>www.saviacomunicacion.com.ar</w:t>
      </w:r>
    </w:hyperlink>
  </w:p>
  <w:p w14:paraId="5E7AC8EE" w14:textId="77777777" w:rsidR="009357AB" w:rsidRDefault="009650DE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rFonts w:ascii="Calibri" w:eastAsia="Calibri" w:hAnsi="Calibri" w:cs="Calibri"/>
        <w:noProof/>
        <w:color w:val="000000"/>
        <w:sz w:val="11"/>
        <w:szCs w:val="11"/>
      </w:rPr>
      <w:drawing>
        <wp:inline distT="0" distB="0" distL="0" distR="0" wp14:anchorId="41CAE4D0" wp14:editId="1FB8D535">
          <wp:extent cx="47708" cy="63446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08" cy="634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11"/>
        <w:szCs w:val="11"/>
      </w:rPr>
      <w:t xml:space="preserve"> </w:t>
    </w:r>
    <w:proofErr w:type="spellStart"/>
    <w:r>
      <w:rPr>
        <w:rFonts w:ascii="Calibri" w:eastAsia="Calibri" w:hAnsi="Calibri" w:cs="Calibri"/>
        <w:color w:val="000000"/>
        <w:sz w:val="11"/>
        <w:szCs w:val="11"/>
      </w:rPr>
      <w:t>savia.comunicacion</w:t>
    </w:r>
    <w:proofErr w:type="spellEnd"/>
    <w:r>
      <w:rPr>
        <w:rFonts w:ascii="Calibri" w:eastAsia="Calibri" w:hAnsi="Calibri" w:cs="Calibri"/>
        <w:color w:val="000000"/>
        <w:sz w:val="11"/>
        <w:szCs w:val="11"/>
      </w:rPr>
      <w:t xml:space="preserve"> </w:t>
    </w:r>
    <w:r>
      <w:rPr>
        <w:rFonts w:ascii="Calibri" w:eastAsia="Calibri" w:hAnsi="Calibri" w:cs="Calibri"/>
        <w:noProof/>
        <w:color w:val="000000"/>
        <w:sz w:val="11"/>
        <w:szCs w:val="11"/>
      </w:rPr>
      <w:drawing>
        <wp:inline distT="0" distB="0" distL="0" distR="0" wp14:anchorId="10D81D56" wp14:editId="4DEA1FDE">
          <wp:extent cx="86995" cy="6310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995" cy="6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11"/>
        <w:szCs w:val="11"/>
      </w:rPr>
      <w:t xml:space="preserve">  @saviaprensa </w:t>
    </w:r>
    <w:r>
      <w:rPr>
        <w:rFonts w:ascii="Calibri" w:eastAsia="Calibri" w:hAnsi="Calibri" w:cs="Calibri"/>
        <w:noProof/>
        <w:color w:val="000000"/>
        <w:sz w:val="11"/>
        <w:szCs w:val="11"/>
      </w:rPr>
      <w:drawing>
        <wp:inline distT="0" distB="0" distL="0" distR="0" wp14:anchorId="29D56742" wp14:editId="7AE7201F">
          <wp:extent cx="79514" cy="63610"/>
          <wp:effectExtent l="0" t="0" r="0" b="0"/>
          <wp:docPr id="9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14" cy="63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11"/>
        <w:szCs w:val="11"/>
      </w:rPr>
      <w:t xml:space="preserve"> </w:t>
    </w:r>
    <w:proofErr w:type="spellStart"/>
    <w:r>
      <w:rPr>
        <w:rFonts w:ascii="Calibri" w:eastAsia="Calibri" w:hAnsi="Calibri" w:cs="Calibri"/>
        <w:color w:val="000000"/>
        <w:sz w:val="11"/>
        <w:szCs w:val="11"/>
      </w:rPr>
      <w:t>saviacomunicacion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7699" w14:textId="77777777" w:rsidR="009357AB" w:rsidRDefault="009357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26615" w14:textId="77777777" w:rsidR="00354606" w:rsidRDefault="00354606">
      <w:r>
        <w:separator/>
      </w:r>
    </w:p>
  </w:footnote>
  <w:footnote w:type="continuationSeparator" w:id="0">
    <w:p w14:paraId="35FB7CD8" w14:textId="77777777" w:rsidR="00354606" w:rsidRDefault="0035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DF826" w14:textId="77777777" w:rsidR="009357AB" w:rsidRDefault="009357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0780" w14:textId="39F34FD8" w:rsidR="005676B0" w:rsidRDefault="005676B0" w:rsidP="005676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7366"/>
      </w:tabs>
      <w:jc w:val="center"/>
      <w:rPr>
        <w:color w:val="000000"/>
      </w:rPr>
    </w:pPr>
  </w:p>
  <w:p w14:paraId="4846CDFE" w14:textId="33B1305C" w:rsidR="009357AB" w:rsidRDefault="009650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7366"/>
      </w:tabs>
      <w:jc w:val="center"/>
      <w:rPr>
        <w:color w:val="000000"/>
      </w:rPr>
    </w:pPr>
    <w:r>
      <w:rPr>
        <w:color w:val="000000"/>
      </w:rPr>
      <w:t xml:space="preserve"> </w:t>
    </w:r>
    <w:r>
      <w:rPr>
        <w:noProof/>
        <w:color w:val="000000"/>
      </w:rPr>
      <w:drawing>
        <wp:inline distT="114300" distB="114300" distL="114300" distR="114300" wp14:anchorId="4DFE4FEB" wp14:editId="304CCCFB">
          <wp:extent cx="1892137" cy="919038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2137" cy="919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0D60852A" wp14:editId="4AE156C7">
              <wp:simplePos x="0" y="0"/>
              <wp:positionH relativeFrom="page">
                <wp:posOffset>444182</wp:posOffset>
              </wp:positionH>
              <wp:positionV relativeFrom="page">
                <wp:posOffset>10003473</wp:posOffset>
              </wp:positionV>
              <wp:extent cx="2105911" cy="805602"/>
              <wp:effectExtent l="0" t="0" r="0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07332" y="3391487"/>
                        <a:ext cx="2077336" cy="7770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C83A9A" w14:textId="77777777" w:rsidR="009357AB" w:rsidRDefault="009650DE">
                          <w:pPr>
                            <w:spacing w:line="288" w:lineRule="auto"/>
                            <w:textDirection w:val="btLr"/>
                          </w:pPr>
                          <w:proofErr w:type="spellStart"/>
                          <w:r>
                            <w:rPr>
                              <w:rFonts w:ascii="Noto Sans Light" w:eastAsia="Noto Sans Light" w:hAnsi="Noto Sans Light" w:cs="Noto Sans Light"/>
                              <w:color w:val="000000"/>
                              <w:sz w:val="16"/>
                            </w:rPr>
                            <w:t>Press</w:t>
                          </w:r>
                          <w:proofErr w:type="spellEnd"/>
                          <w:r>
                            <w:rPr>
                              <w:rFonts w:ascii="Noto Sans Light" w:eastAsia="Noto Sans Light" w:hAnsi="Noto Sans Light" w:cs="Noto Sans Light"/>
                              <w:color w:val="00000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Noto Sans Light" w:eastAsia="Noto Sans Light" w:hAnsi="Noto Sans Light" w:cs="Noto Sans Light"/>
                              <w:color w:val="000000"/>
                              <w:sz w:val="16"/>
                            </w:rPr>
                            <w:t>release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60852A" id="Rectángulo 6" o:spid="_x0000_s1026" style="position:absolute;left:0;text-align:left;margin-left:34.95pt;margin-top:787.7pt;width:165.8pt;height:63.4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" filled="f" stroked="f">
              <v:textbox inset="0,0,0,0">
                <w:txbxContent>
                  <w:p w14:paraId="0FC83A9A" w14:textId="77777777" w:rsidR="009357AB" w:rsidRDefault="009650DE">
                    <w:pPr>
                      <w:spacing w:line="288" w:lineRule="auto"/>
                      <w:textDirection w:val="btLr"/>
                    </w:pPr>
                    <w:proofErr w:type="spellStart"/>
                    <w:r>
                      <w:rPr>
                        <w:rFonts w:ascii="Noto Sans Light" w:eastAsia="Noto Sans Light" w:hAnsi="Noto Sans Light" w:cs="Noto Sans Light"/>
                        <w:color w:val="000000"/>
                        <w:sz w:val="16"/>
                      </w:rPr>
                      <w:t>Press</w:t>
                    </w:r>
                    <w:proofErr w:type="spellEnd"/>
                    <w:r>
                      <w:rPr>
                        <w:rFonts w:ascii="Noto Sans Light" w:eastAsia="Noto Sans Light" w:hAnsi="Noto Sans Light" w:cs="Noto Sans Light"/>
                        <w:color w:val="00000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Noto Sans Light" w:eastAsia="Noto Sans Light" w:hAnsi="Noto Sans Light" w:cs="Noto Sans Light"/>
                        <w:color w:val="000000"/>
                        <w:sz w:val="16"/>
                      </w:rPr>
                      <w:t>release</w:t>
                    </w:r>
                    <w:proofErr w:type="spellEnd"/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09F0" w14:textId="77777777" w:rsidR="009357AB" w:rsidRDefault="009357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1FC6"/>
    <w:multiLevelType w:val="hybridMultilevel"/>
    <w:tmpl w:val="5E0A0CFC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6203A"/>
    <w:multiLevelType w:val="hybridMultilevel"/>
    <w:tmpl w:val="21B6916C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92AFB"/>
    <w:multiLevelType w:val="hybridMultilevel"/>
    <w:tmpl w:val="AF6A169C"/>
    <w:lvl w:ilvl="0" w:tplc="CC80C9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06929"/>
    <w:multiLevelType w:val="multilevel"/>
    <w:tmpl w:val="31EE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C545B1"/>
    <w:multiLevelType w:val="multilevel"/>
    <w:tmpl w:val="A5E2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CC7C3B"/>
    <w:multiLevelType w:val="hybridMultilevel"/>
    <w:tmpl w:val="52CCF6AE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739E1"/>
    <w:multiLevelType w:val="hybridMultilevel"/>
    <w:tmpl w:val="B4A0079C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3437631">
    <w:abstractNumId w:val="2"/>
  </w:num>
  <w:num w:numId="2" w16cid:durableId="1228564918">
    <w:abstractNumId w:val="3"/>
  </w:num>
  <w:num w:numId="3" w16cid:durableId="1343892039">
    <w:abstractNumId w:val="4"/>
  </w:num>
  <w:num w:numId="4" w16cid:durableId="706562775">
    <w:abstractNumId w:val="1"/>
  </w:num>
  <w:num w:numId="5" w16cid:durableId="1863278744">
    <w:abstractNumId w:val="6"/>
  </w:num>
  <w:num w:numId="6" w16cid:durableId="1762096847">
    <w:abstractNumId w:val="5"/>
  </w:num>
  <w:num w:numId="7" w16cid:durableId="65079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AB"/>
    <w:rsid w:val="000068CD"/>
    <w:rsid w:val="000244F8"/>
    <w:rsid w:val="00031AC2"/>
    <w:rsid w:val="00036DA2"/>
    <w:rsid w:val="00043B1F"/>
    <w:rsid w:val="00045471"/>
    <w:rsid w:val="00045C4E"/>
    <w:rsid w:val="00057832"/>
    <w:rsid w:val="00063330"/>
    <w:rsid w:val="00072C1F"/>
    <w:rsid w:val="00083088"/>
    <w:rsid w:val="000A6366"/>
    <w:rsid w:val="000D10EC"/>
    <w:rsid w:val="000F0444"/>
    <w:rsid w:val="00111E03"/>
    <w:rsid w:val="001126B8"/>
    <w:rsid w:val="001224F1"/>
    <w:rsid w:val="00126B20"/>
    <w:rsid w:val="00130653"/>
    <w:rsid w:val="001310DB"/>
    <w:rsid w:val="00140F69"/>
    <w:rsid w:val="001570B5"/>
    <w:rsid w:val="00170D63"/>
    <w:rsid w:val="00183AF7"/>
    <w:rsid w:val="00192EDE"/>
    <w:rsid w:val="001931F0"/>
    <w:rsid w:val="001A3D8B"/>
    <w:rsid w:val="001B18D6"/>
    <w:rsid w:val="001C219D"/>
    <w:rsid w:val="001D26BC"/>
    <w:rsid w:val="001D52EB"/>
    <w:rsid w:val="001E6CDD"/>
    <w:rsid w:val="001F7C6D"/>
    <w:rsid w:val="00255EEE"/>
    <w:rsid w:val="002611CD"/>
    <w:rsid w:val="00263173"/>
    <w:rsid w:val="002A21C7"/>
    <w:rsid w:val="002B0655"/>
    <w:rsid w:val="002D4CEA"/>
    <w:rsid w:val="002D7CDA"/>
    <w:rsid w:val="002E5076"/>
    <w:rsid w:val="003004BB"/>
    <w:rsid w:val="00307BA1"/>
    <w:rsid w:val="00316F93"/>
    <w:rsid w:val="00317DA0"/>
    <w:rsid w:val="003230AA"/>
    <w:rsid w:val="003258FC"/>
    <w:rsid w:val="00344C1D"/>
    <w:rsid w:val="00347717"/>
    <w:rsid w:val="003516EA"/>
    <w:rsid w:val="00353E99"/>
    <w:rsid w:val="00354606"/>
    <w:rsid w:val="003605E2"/>
    <w:rsid w:val="00397E5B"/>
    <w:rsid w:val="003C4DBF"/>
    <w:rsid w:val="003E6DA9"/>
    <w:rsid w:val="003F1F9C"/>
    <w:rsid w:val="00401596"/>
    <w:rsid w:val="00412E7C"/>
    <w:rsid w:val="00414CEB"/>
    <w:rsid w:val="0043241F"/>
    <w:rsid w:val="00445843"/>
    <w:rsid w:val="00451E17"/>
    <w:rsid w:val="004657B3"/>
    <w:rsid w:val="0046632D"/>
    <w:rsid w:val="00492E9A"/>
    <w:rsid w:val="004A25BC"/>
    <w:rsid w:val="004A2FE6"/>
    <w:rsid w:val="004A5F94"/>
    <w:rsid w:val="004A7A3E"/>
    <w:rsid w:val="004B1602"/>
    <w:rsid w:val="004B2964"/>
    <w:rsid w:val="004D304B"/>
    <w:rsid w:val="004E12C5"/>
    <w:rsid w:val="004F7443"/>
    <w:rsid w:val="005017DB"/>
    <w:rsid w:val="005339E5"/>
    <w:rsid w:val="00537BD3"/>
    <w:rsid w:val="0054012C"/>
    <w:rsid w:val="005470C0"/>
    <w:rsid w:val="00555ADC"/>
    <w:rsid w:val="00560875"/>
    <w:rsid w:val="005676B0"/>
    <w:rsid w:val="005714CB"/>
    <w:rsid w:val="00596020"/>
    <w:rsid w:val="005B7D2E"/>
    <w:rsid w:val="005C270C"/>
    <w:rsid w:val="005E662E"/>
    <w:rsid w:val="005F14E0"/>
    <w:rsid w:val="005F2AE4"/>
    <w:rsid w:val="00600781"/>
    <w:rsid w:val="00603217"/>
    <w:rsid w:val="00610B40"/>
    <w:rsid w:val="00614C81"/>
    <w:rsid w:val="006178C2"/>
    <w:rsid w:val="006204A4"/>
    <w:rsid w:val="00631A17"/>
    <w:rsid w:val="006368A8"/>
    <w:rsid w:val="00650951"/>
    <w:rsid w:val="006513ED"/>
    <w:rsid w:val="006538F4"/>
    <w:rsid w:val="00663906"/>
    <w:rsid w:val="00673F2C"/>
    <w:rsid w:val="00684D2B"/>
    <w:rsid w:val="00685631"/>
    <w:rsid w:val="00686AD3"/>
    <w:rsid w:val="006935BF"/>
    <w:rsid w:val="006B02D3"/>
    <w:rsid w:val="006F7E26"/>
    <w:rsid w:val="0071625F"/>
    <w:rsid w:val="00724A05"/>
    <w:rsid w:val="00724C14"/>
    <w:rsid w:val="00727907"/>
    <w:rsid w:val="007429BF"/>
    <w:rsid w:val="007441E0"/>
    <w:rsid w:val="00744B42"/>
    <w:rsid w:val="007473B0"/>
    <w:rsid w:val="00762BA0"/>
    <w:rsid w:val="00764542"/>
    <w:rsid w:val="00775C79"/>
    <w:rsid w:val="007A7287"/>
    <w:rsid w:val="007B4948"/>
    <w:rsid w:val="007C489C"/>
    <w:rsid w:val="007E07D1"/>
    <w:rsid w:val="007E095A"/>
    <w:rsid w:val="007E24CA"/>
    <w:rsid w:val="007E6F6F"/>
    <w:rsid w:val="007F7A6C"/>
    <w:rsid w:val="008019BA"/>
    <w:rsid w:val="00811A09"/>
    <w:rsid w:val="00824C84"/>
    <w:rsid w:val="008261AC"/>
    <w:rsid w:val="008342F5"/>
    <w:rsid w:val="00835B47"/>
    <w:rsid w:val="008460D8"/>
    <w:rsid w:val="00847546"/>
    <w:rsid w:val="008501ED"/>
    <w:rsid w:val="00857E88"/>
    <w:rsid w:val="0086524B"/>
    <w:rsid w:val="00867B46"/>
    <w:rsid w:val="00870EC1"/>
    <w:rsid w:val="0089314E"/>
    <w:rsid w:val="008A0E50"/>
    <w:rsid w:val="008A1305"/>
    <w:rsid w:val="008A1C5E"/>
    <w:rsid w:val="008B14C5"/>
    <w:rsid w:val="008B186F"/>
    <w:rsid w:val="008C4D77"/>
    <w:rsid w:val="008D0E74"/>
    <w:rsid w:val="008E193B"/>
    <w:rsid w:val="008E2831"/>
    <w:rsid w:val="008E3A5F"/>
    <w:rsid w:val="00916D50"/>
    <w:rsid w:val="009357AB"/>
    <w:rsid w:val="0094318F"/>
    <w:rsid w:val="00954C63"/>
    <w:rsid w:val="009650DE"/>
    <w:rsid w:val="009675B1"/>
    <w:rsid w:val="00975150"/>
    <w:rsid w:val="00980596"/>
    <w:rsid w:val="00985F29"/>
    <w:rsid w:val="00990338"/>
    <w:rsid w:val="0099726E"/>
    <w:rsid w:val="009B575A"/>
    <w:rsid w:val="009B62B2"/>
    <w:rsid w:val="009D0E9F"/>
    <w:rsid w:val="009D1D88"/>
    <w:rsid w:val="009F2C12"/>
    <w:rsid w:val="00A03834"/>
    <w:rsid w:val="00A07102"/>
    <w:rsid w:val="00A30086"/>
    <w:rsid w:val="00A313F2"/>
    <w:rsid w:val="00A42CF7"/>
    <w:rsid w:val="00A51D9A"/>
    <w:rsid w:val="00A52AE4"/>
    <w:rsid w:val="00A553C0"/>
    <w:rsid w:val="00A56B33"/>
    <w:rsid w:val="00A80257"/>
    <w:rsid w:val="00A80865"/>
    <w:rsid w:val="00A94805"/>
    <w:rsid w:val="00AA0B0A"/>
    <w:rsid w:val="00AB4740"/>
    <w:rsid w:val="00AC1671"/>
    <w:rsid w:val="00AC2371"/>
    <w:rsid w:val="00AE17E2"/>
    <w:rsid w:val="00AF4E18"/>
    <w:rsid w:val="00AF696A"/>
    <w:rsid w:val="00B01E6E"/>
    <w:rsid w:val="00B04302"/>
    <w:rsid w:val="00B06823"/>
    <w:rsid w:val="00B073D9"/>
    <w:rsid w:val="00B2110C"/>
    <w:rsid w:val="00B44688"/>
    <w:rsid w:val="00B46B6E"/>
    <w:rsid w:val="00B47197"/>
    <w:rsid w:val="00B4720F"/>
    <w:rsid w:val="00B472BC"/>
    <w:rsid w:val="00B64088"/>
    <w:rsid w:val="00B644D8"/>
    <w:rsid w:val="00B65ED1"/>
    <w:rsid w:val="00B74DC6"/>
    <w:rsid w:val="00B8412A"/>
    <w:rsid w:val="00B87917"/>
    <w:rsid w:val="00B90068"/>
    <w:rsid w:val="00BC2247"/>
    <w:rsid w:val="00BC5699"/>
    <w:rsid w:val="00BD0A41"/>
    <w:rsid w:val="00BD33F3"/>
    <w:rsid w:val="00BD7A52"/>
    <w:rsid w:val="00C03A29"/>
    <w:rsid w:val="00C134C0"/>
    <w:rsid w:val="00C1762E"/>
    <w:rsid w:val="00C24577"/>
    <w:rsid w:val="00C54F9A"/>
    <w:rsid w:val="00C655F0"/>
    <w:rsid w:val="00C73B4B"/>
    <w:rsid w:val="00C76B3A"/>
    <w:rsid w:val="00C80564"/>
    <w:rsid w:val="00C874B1"/>
    <w:rsid w:val="00C95ADC"/>
    <w:rsid w:val="00C97922"/>
    <w:rsid w:val="00CA14CD"/>
    <w:rsid w:val="00CA1934"/>
    <w:rsid w:val="00CD2016"/>
    <w:rsid w:val="00CE3E0C"/>
    <w:rsid w:val="00D035C2"/>
    <w:rsid w:val="00D22FDF"/>
    <w:rsid w:val="00D330BE"/>
    <w:rsid w:val="00D56302"/>
    <w:rsid w:val="00D61C03"/>
    <w:rsid w:val="00D77030"/>
    <w:rsid w:val="00D80C8B"/>
    <w:rsid w:val="00D847B2"/>
    <w:rsid w:val="00D972AB"/>
    <w:rsid w:val="00DB4FF9"/>
    <w:rsid w:val="00DC2AC7"/>
    <w:rsid w:val="00DC69B2"/>
    <w:rsid w:val="00DD096D"/>
    <w:rsid w:val="00DD1194"/>
    <w:rsid w:val="00DD5F05"/>
    <w:rsid w:val="00DD7011"/>
    <w:rsid w:val="00DE330E"/>
    <w:rsid w:val="00DF6B4A"/>
    <w:rsid w:val="00E1395E"/>
    <w:rsid w:val="00E17D8D"/>
    <w:rsid w:val="00E2039E"/>
    <w:rsid w:val="00E22279"/>
    <w:rsid w:val="00E41D46"/>
    <w:rsid w:val="00E52E2B"/>
    <w:rsid w:val="00E56903"/>
    <w:rsid w:val="00E61F1C"/>
    <w:rsid w:val="00E620BD"/>
    <w:rsid w:val="00E70445"/>
    <w:rsid w:val="00E73CCA"/>
    <w:rsid w:val="00E85E0D"/>
    <w:rsid w:val="00EA7748"/>
    <w:rsid w:val="00EC40A2"/>
    <w:rsid w:val="00ED2F3C"/>
    <w:rsid w:val="00EE31DE"/>
    <w:rsid w:val="00EE38D4"/>
    <w:rsid w:val="00F0786C"/>
    <w:rsid w:val="00F1767E"/>
    <w:rsid w:val="00F17AB2"/>
    <w:rsid w:val="00F30C61"/>
    <w:rsid w:val="00F6360E"/>
    <w:rsid w:val="00F8731B"/>
    <w:rsid w:val="00F94110"/>
    <w:rsid w:val="00FA7230"/>
    <w:rsid w:val="00FC51E1"/>
    <w:rsid w:val="00FD1C94"/>
    <w:rsid w:val="00FE0417"/>
    <w:rsid w:val="00FE73E1"/>
    <w:rsid w:val="00FF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689C0"/>
  <w15:docId w15:val="{3FF83B7A-6F29-324B-ADCB-6095B475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AR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84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AD6D84"/>
  </w:style>
  <w:style w:type="character" w:styleId="Textoennegrita">
    <w:name w:val="Strong"/>
    <w:basedOn w:val="Fuentedeprrafopredeter"/>
    <w:uiPriority w:val="22"/>
    <w:qFormat/>
    <w:rsid w:val="0006678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6678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678A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732A48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622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251"/>
  </w:style>
  <w:style w:type="paragraph" w:styleId="Piedepgina">
    <w:name w:val="footer"/>
    <w:basedOn w:val="Normal"/>
    <w:link w:val="PiedepginaCar"/>
    <w:uiPriority w:val="99"/>
    <w:unhideWhenUsed/>
    <w:rsid w:val="00E622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251"/>
  </w:style>
  <w:style w:type="paragraph" w:styleId="Prrafodelista">
    <w:name w:val="List Paragraph"/>
    <w:basedOn w:val="Normal"/>
    <w:uiPriority w:val="34"/>
    <w:qFormat/>
    <w:rsid w:val="002D4C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Fuentedeprrafopredeter"/>
    <w:rsid w:val="002D4CEA"/>
  </w:style>
  <w:style w:type="character" w:customStyle="1" w:styleId="ui-provider">
    <w:name w:val="ui-provider"/>
    <w:basedOn w:val="Fuentedeprrafopredeter"/>
    <w:rsid w:val="007429BF"/>
  </w:style>
  <w:style w:type="paragraph" w:styleId="NormalWeb">
    <w:name w:val="Normal (Web)"/>
    <w:basedOn w:val="Normal"/>
    <w:uiPriority w:val="99"/>
    <w:unhideWhenUsed/>
    <w:rsid w:val="00036DA2"/>
    <w:pPr>
      <w:spacing w:before="100" w:beforeAutospacing="1" w:after="100" w:afterAutospacing="1"/>
    </w:pPr>
  </w:style>
  <w:style w:type="character" w:customStyle="1" w:styleId="gd">
    <w:name w:val="gd"/>
    <w:basedOn w:val="Fuentedeprrafopredeter"/>
    <w:rsid w:val="0046632D"/>
  </w:style>
  <w:style w:type="character" w:customStyle="1" w:styleId="il">
    <w:name w:val="il"/>
    <w:basedOn w:val="Fuentedeprrafopredeter"/>
    <w:rsid w:val="009D1D88"/>
  </w:style>
  <w:style w:type="paragraph" w:styleId="Textoindependiente">
    <w:name w:val="Body Text"/>
    <w:basedOn w:val="Normal"/>
    <w:link w:val="TextoindependienteCar"/>
    <w:rsid w:val="009675B1"/>
    <w:pPr>
      <w:jc w:val="both"/>
    </w:pPr>
    <w:rPr>
      <w:rFonts w:ascii="Verdana" w:hAnsi="Verdana"/>
      <w:color w:val="0000FF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675B1"/>
    <w:rPr>
      <w:rFonts w:ascii="Verdana" w:hAnsi="Verdana"/>
      <w:color w:val="0000FF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675B1"/>
    <w:pPr>
      <w:jc w:val="both"/>
    </w:pPr>
    <w:rPr>
      <w:rFonts w:ascii="Verdana" w:hAnsi="Verdana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675B1"/>
    <w:rPr>
      <w:rFonts w:ascii="Verdana" w:hAnsi="Verdana"/>
      <w:sz w:val="20"/>
      <w:szCs w:val="20"/>
      <w:lang w:val="es-ES_tradnl" w:eastAsia="es-ES"/>
    </w:rPr>
  </w:style>
  <w:style w:type="character" w:customStyle="1" w:styleId="opacity-80">
    <w:name w:val="opacity-80"/>
    <w:basedOn w:val="Fuentedeprrafopredeter"/>
    <w:rsid w:val="008C4D77"/>
  </w:style>
  <w:style w:type="character" w:customStyle="1" w:styleId="group-hoverbg-base-200">
    <w:name w:val="group-hover:bg-base-200"/>
    <w:basedOn w:val="Fuentedeprrafopredeter"/>
    <w:rsid w:val="008C4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saviacomunicacion.com.ar" TargetMode="External"/><Relationship Id="rId1" Type="http://schemas.openxmlformats.org/officeDocument/2006/relationships/hyperlink" Target="mailto:prensa@saviacomunicacion.com.ar" TargetMode="External"/><Relationship Id="rId5" Type="http://schemas.openxmlformats.org/officeDocument/2006/relationships/image" Target="media/image4.jp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vTqVHmaDG86DPCag0+/pnB45Yg==">CgMxLjA4AHIhMU9CV2d6aHZEWll6ajl5TExkbUs5SmxDY1MxUDE1ekgx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648E6D9EF6D4DAC601EAEA9007179" ma:contentTypeVersion="16" ma:contentTypeDescription="Create a new document." ma:contentTypeScope="" ma:versionID="a3843238d986e02ba4fbad89e0470b8d">
  <xsd:schema xmlns:xsd="http://www.w3.org/2001/XMLSchema" xmlns:xs="http://www.w3.org/2001/XMLSchema" xmlns:p="http://schemas.microsoft.com/office/2006/metadata/properties" xmlns:ns2="de6aa4af-b6d6-44b2-8ffb-a5fbdfecb64a" xmlns:ns3="eec74bf0-c8d0-421e-a8d6-579cde755836" targetNamespace="http://schemas.microsoft.com/office/2006/metadata/properties" ma:root="true" ma:fieldsID="aa5996eef6037e1c1526a2c8aa97a564" ns2:_="" ns3:_="">
    <xsd:import namespace="de6aa4af-b6d6-44b2-8ffb-a5fbdfecb64a"/>
    <xsd:import namespace="eec74bf0-c8d0-421e-a8d6-579cde755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a4af-b6d6-44b2-8ffb-a5fbdfecb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27f0ad1-e1ca-4e4c-8f37-11d33ab906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74bf0-c8d0-421e-a8d6-579cde755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01d6ccc-f646-4ad1-93ad-5fcec6eaa97c}" ma:internalName="TaxCatchAll" ma:showField="CatchAllData" ma:web="eec74bf0-c8d0-421e-a8d6-579cde755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titus xmlns="http://schemas.titus.com/TitusProperties/">
  <TitusGUID xmlns="">00c4586d-bb2a-4500-a847-aaf26a5c361e</TitusGUID>
  <TitusMetadata xmlns="">eyJucyI6Imh0dHA6XC9cL3d3dy50aXR1cy5jb21cL25zXC9QT0MiLCJwcm9wcyI6W3sibiI6IkNsYXNzaWZpY2F0aW9uIiwidmFscyI6W3sidmFsdWUiOiJ0X2NsYXNzXzIifV19LHsibiI6IlF1ZXN0aW9uMSIsInZhbHMiOltdfSx7Im4iOiJRdWVzdGlvbjIiLCJ2YWxzIjpbXX0seyJuIjoiUXVlc3Rpb24zIiwidmFscyI6W119LHsibiI6IlF1ZXN0aW9uNCIsInZhbHMiOltdfV19</TitusMetadata>
</titu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c74bf0-c8d0-421e-a8d6-579cde755836" xsi:nil="true"/>
    <lcf76f155ced4ddcb4097134ff3c332f xmlns="de6aa4af-b6d6-44b2-8ffb-a5fbdfecb6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B65A3EA-0963-481D-8F12-54076134B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5D74E0-3244-43EF-9C56-2321D6431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aa4af-b6d6-44b2-8ffb-a5fbdfecb64a"/>
    <ds:schemaRef ds:uri="eec74bf0-c8d0-421e-a8d6-579cde755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3BFF01-F267-4A8F-A3DF-E7FC30ECF63C}">
  <ds:schemaRefs>
    <ds:schemaRef ds:uri="http://schemas.titus.com/TitusProperties/"/>
    <ds:schemaRef ds:uri=""/>
  </ds:schemaRefs>
</ds:datastoreItem>
</file>

<file path=customXml/itemProps5.xml><?xml version="1.0" encoding="utf-8"?>
<ds:datastoreItem xmlns:ds="http://schemas.openxmlformats.org/officeDocument/2006/customXml" ds:itemID="{088569ED-5C0D-484A-AB28-C4EC9AD48F85}">
  <ds:schemaRefs>
    <ds:schemaRef ds:uri="http://schemas.microsoft.com/office/2006/metadata/properties"/>
    <ds:schemaRef ds:uri="http://schemas.microsoft.com/office/infopath/2007/PartnerControls"/>
    <ds:schemaRef ds:uri="eec74bf0-c8d0-421e-a8d6-579cde755836"/>
    <ds:schemaRef ds:uri="de6aa4af-b6d6-44b2-8ffb-a5fbdfecb6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638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Fernando Gandulfo/Marketing/Buenos Aires</dc:creator>
  <cp:lastModifiedBy>Microsoft Office User</cp:lastModifiedBy>
  <cp:revision>4</cp:revision>
  <dcterms:created xsi:type="dcterms:W3CDTF">2024-09-11T00:20:00Z</dcterms:created>
  <dcterms:modified xsi:type="dcterms:W3CDTF">2024-09-11T20:08:00Z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t_class_2</vt:lpwstr>
  </property>
  <property fmtid="{D5CDD505-2E9C-101B-9397-08002B2CF9AE}" pid="3" name="TitusGUID">
    <vt:lpwstr>00c4586d-bb2a-4500-a847-aaf26a5c361e</vt:lpwstr>
  </property>
  <property fmtid="{D5CDD505-2E9C-101B-9397-08002B2CF9AE}" pid="4" name="ContentTypeId">
    <vt:lpwstr>0x010100A6F648E6D9EF6D4DAC601EAEA9007179</vt:lpwstr>
  </property>
</Properties>
</file>