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E7110" w14:textId="77777777" w:rsidR="00CF425C" w:rsidRPr="00E06BBF" w:rsidRDefault="00CF425C">
      <w:pPr>
        <w:spacing w:line="360" w:lineRule="auto"/>
        <w:rPr>
          <w:b/>
          <w:i/>
          <w:color w:val="000000"/>
          <w:lang w:val="es-ES"/>
        </w:rPr>
      </w:pPr>
    </w:p>
    <w:p w14:paraId="41443D97" w14:textId="77777777" w:rsidR="00CF425C" w:rsidRPr="00E06BBF" w:rsidRDefault="00CF425C">
      <w:pPr>
        <w:spacing w:line="360" w:lineRule="auto"/>
        <w:rPr>
          <w:i/>
          <w:color w:val="000000"/>
          <w:lang w:val="es-ES"/>
        </w:rPr>
      </w:pPr>
    </w:p>
    <w:p w14:paraId="441B453C" w14:textId="653BE9D5" w:rsidR="00AE1663" w:rsidRPr="00A6569B" w:rsidRDefault="00000000" w:rsidP="00AE1663">
      <w:pPr>
        <w:spacing w:line="276" w:lineRule="auto"/>
        <w:jc w:val="both"/>
        <w:rPr>
          <w:rFonts w:ascii="Calibri" w:hAnsi="Calibri" w:cs="Calibri"/>
          <w:b/>
          <w:sz w:val="32"/>
          <w:szCs w:val="32"/>
          <w:lang w:val="es-ES"/>
        </w:rPr>
      </w:pPr>
      <w:r w:rsidRPr="00A6569B">
        <w:rPr>
          <w:rFonts w:ascii="Calibri" w:hAnsi="Calibri" w:cs="Calibri"/>
          <w:b/>
          <w:sz w:val="32"/>
          <w:szCs w:val="32"/>
          <w:lang w:val="es-ES"/>
        </w:rPr>
        <w:t xml:space="preserve">CLAAS invierte más de 50 millones de euros y moderniza su planta de </w:t>
      </w:r>
      <w:proofErr w:type="spellStart"/>
      <w:r w:rsidRPr="00A6569B">
        <w:rPr>
          <w:rFonts w:ascii="Calibri" w:hAnsi="Calibri" w:cs="Calibri"/>
          <w:b/>
          <w:sz w:val="32"/>
          <w:szCs w:val="32"/>
          <w:lang w:val="es-ES"/>
        </w:rPr>
        <w:t>Bad</w:t>
      </w:r>
      <w:proofErr w:type="spellEnd"/>
      <w:r w:rsidRPr="00A6569B">
        <w:rPr>
          <w:rFonts w:ascii="Calibri" w:hAnsi="Calibri" w:cs="Calibri"/>
          <w:b/>
          <w:sz w:val="32"/>
          <w:szCs w:val="32"/>
          <w:lang w:val="es-ES"/>
        </w:rPr>
        <w:t xml:space="preserve"> </w:t>
      </w:r>
      <w:proofErr w:type="spellStart"/>
      <w:r w:rsidRPr="00A6569B">
        <w:rPr>
          <w:rFonts w:ascii="Calibri" w:hAnsi="Calibri" w:cs="Calibri"/>
          <w:b/>
          <w:sz w:val="32"/>
          <w:szCs w:val="32"/>
          <w:lang w:val="es-ES"/>
        </w:rPr>
        <w:t>Saulgau</w:t>
      </w:r>
      <w:proofErr w:type="spellEnd"/>
    </w:p>
    <w:p w14:paraId="31A22A1B" w14:textId="77777777" w:rsidR="00AE1663" w:rsidRDefault="00AE1663" w:rsidP="00545037">
      <w:pPr>
        <w:spacing w:line="276" w:lineRule="auto"/>
        <w:jc w:val="both"/>
        <w:rPr>
          <w:rFonts w:ascii="Calibri" w:hAnsi="Calibri" w:cs="Calibri"/>
          <w:bCs/>
          <w:i/>
          <w:iCs/>
          <w:sz w:val="24"/>
          <w:szCs w:val="24"/>
          <w:lang w:val="es-ES"/>
        </w:rPr>
      </w:pPr>
    </w:p>
    <w:p w14:paraId="0FE35029" w14:textId="468684D1" w:rsidR="00545037" w:rsidRDefault="00000000" w:rsidP="00545037">
      <w:pPr>
        <w:spacing w:line="276" w:lineRule="auto"/>
        <w:jc w:val="both"/>
        <w:rPr>
          <w:rFonts w:ascii="Calibri" w:hAnsi="Calibri" w:cs="Calibri"/>
          <w:bCs/>
          <w:i/>
          <w:iCs/>
          <w:sz w:val="24"/>
          <w:szCs w:val="24"/>
          <w:lang w:val="es-ES"/>
        </w:rPr>
      </w:pPr>
      <w:r w:rsidRPr="00FC3AE3">
        <w:rPr>
          <w:rFonts w:ascii="Calibri" w:hAnsi="Calibri" w:cs="Calibri"/>
          <w:bCs/>
          <w:i/>
          <w:iCs/>
          <w:sz w:val="24"/>
          <w:szCs w:val="24"/>
          <w:lang w:val="es-ES"/>
        </w:rPr>
        <w:t>La compañía alemana amplía su capacidad de producción de maquinarias forrajeras con un nuevo centro logístico y áreas de montaje renovadas.</w:t>
      </w:r>
    </w:p>
    <w:p w14:paraId="6216F705" w14:textId="77777777" w:rsidR="00545037" w:rsidRDefault="00545037" w:rsidP="00545037">
      <w:pPr>
        <w:spacing w:line="276" w:lineRule="auto"/>
        <w:jc w:val="both"/>
        <w:rPr>
          <w:rFonts w:ascii="Calibri" w:hAnsi="Calibri" w:cs="Calibri"/>
          <w:bCs/>
          <w:i/>
          <w:iCs/>
          <w:sz w:val="24"/>
          <w:szCs w:val="24"/>
          <w:lang w:val="es-ES"/>
        </w:rPr>
      </w:pPr>
    </w:p>
    <w:p w14:paraId="631F3A1B" w14:textId="1E86E620" w:rsidR="00CF425C" w:rsidRPr="00A6569B" w:rsidRDefault="00000000" w:rsidP="00545037">
      <w:pPr>
        <w:spacing w:line="276" w:lineRule="auto"/>
        <w:jc w:val="both"/>
        <w:rPr>
          <w:rFonts w:ascii="Calibri" w:hAnsi="Calibri" w:cs="Calibri"/>
          <w:sz w:val="24"/>
          <w:szCs w:val="24"/>
          <w:lang w:val="es-ES"/>
        </w:rPr>
      </w:pPr>
      <w:r w:rsidRPr="00A6569B">
        <w:rPr>
          <w:rFonts w:ascii="Calibri" w:hAnsi="Calibri" w:cs="Calibri"/>
          <w:sz w:val="24"/>
          <w:szCs w:val="24"/>
          <w:lang w:val="es-ES"/>
        </w:rPr>
        <w:t xml:space="preserve">Bad Saulgau, Alemania, octubre de 2025 — CLAAS, uno de los principales fabricantes mundiales de maquinaria para la cosecha de forrajes, avanza con una fuerte apuesta en su planta de Bad Saulgau. </w:t>
      </w:r>
      <w:r w:rsidR="00E06BBF" w:rsidRPr="00A6569B">
        <w:rPr>
          <w:rFonts w:ascii="Calibri" w:hAnsi="Calibri" w:cs="Calibri"/>
          <w:sz w:val="24"/>
          <w:szCs w:val="24"/>
          <w:lang w:val="es-ES"/>
        </w:rPr>
        <w:t>En el marco d</w:t>
      </w:r>
      <w:r w:rsidRPr="00A6569B">
        <w:rPr>
          <w:rFonts w:ascii="Calibri" w:hAnsi="Calibri" w:cs="Calibri"/>
          <w:sz w:val="24"/>
          <w:szCs w:val="24"/>
          <w:lang w:val="es-ES"/>
        </w:rPr>
        <w:t xml:space="preserve">el proyecto </w:t>
      </w:r>
      <w:proofErr w:type="spellStart"/>
      <w:r w:rsidRPr="00A6569B">
        <w:rPr>
          <w:rFonts w:ascii="Calibri" w:hAnsi="Calibri" w:cs="Calibri"/>
          <w:sz w:val="24"/>
          <w:szCs w:val="24"/>
          <w:lang w:val="es-ES"/>
        </w:rPr>
        <w:t>ForageGO</w:t>
      </w:r>
      <w:proofErr w:type="spellEnd"/>
      <w:r w:rsidRPr="00A6569B">
        <w:rPr>
          <w:rFonts w:ascii="Calibri" w:hAnsi="Calibri" w:cs="Calibri"/>
          <w:sz w:val="24"/>
          <w:szCs w:val="24"/>
          <w:lang w:val="es-ES"/>
        </w:rPr>
        <w:t>!, la empresa ya destinó más de 50 millones de euros a infraestructura, líneas de montaje y a un nuevo centro logístico de 9.600 metros cuadrados pensado para acompañar el crecimiento global de la marca.</w:t>
      </w:r>
    </w:p>
    <w:p w14:paraId="4004FADF" w14:textId="77777777" w:rsidR="00CF425C" w:rsidRPr="00A6569B" w:rsidRDefault="00000000" w:rsidP="00545037">
      <w:pPr>
        <w:spacing w:before="240" w:after="240" w:line="276" w:lineRule="auto"/>
        <w:jc w:val="both"/>
        <w:rPr>
          <w:rFonts w:ascii="Calibri" w:hAnsi="Calibri" w:cs="Calibri"/>
          <w:sz w:val="24"/>
          <w:szCs w:val="24"/>
          <w:lang w:val="es-ES"/>
        </w:rPr>
      </w:pPr>
      <w:r w:rsidRPr="00A6569B">
        <w:rPr>
          <w:rFonts w:ascii="Calibri" w:hAnsi="Calibri" w:cs="Calibri"/>
          <w:sz w:val="24"/>
          <w:szCs w:val="24"/>
          <w:lang w:val="es-ES"/>
        </w:rPr>
        <w:t>La planta, que emplea a unas 850 personas, es el centro de especialización del grupo CLAAS en tecnología de forraje. “Bad Saulgau es una pieza clave dentro del Grupo CLAAS. Representa innovación y calidad en la cosecha de forrajes, y su prestigio internacional nos permite seguir creciendo sobre bases sólidas”, destacó Thomas Spiering, COO de la compañía.</w:t>
      </w:r>
    </w:p>
    <w:p w14:paraId="1A19076B" w14:textId="77777777" w:rsidR="00CF425C" w:rsidRPr="00A6569B" w:rsidRDefault="00000000" w:rsidP="00545037">
      <w:pPr>
        <w:pStyle w:val="Ttulo4"/>
        <w:keepNext w:val="0"/>
        <w:keepLines w:val="0"/>
        <w:spacing w:line="276" w:lineRule="auto"/>
        <w:jc w:val="both"/>
        <w:rPr>
          <w:rFonts w:ascii="Calibri" w:hAnsi="Calibri" w:cs="Calibri"/>
          <w:lang w:val="es-ES"/>
        </w:rPr>
      </w:pPr>
      <w:bookmarkStart w:id="0" w:name="_heading=h.6oblu5etwgjo" w:colFirst="0" w:colLast="0"/>
      <w:bookmarkEnd w:id="0"/>
      <w:r w:rsidRPr="00A6569B">
        <w:rPr>
          <w:rFonts w:ascii="Calibri" w:hAnsi="Calibri" w:cs="Calibri"/>
          <w:lang w:val="es-ES"/>
        </w:rPr>
        <w:t>Un salto en logística, sustentabilidad y eficiencia energética</w:t>
      </w:r>
    </w:p>
    <w:p w14:paraId="4D3E5582" w14:textId="77777777" w:rsidR="00CF425C" w:rsidRPr="00A6569B" w:rsidRDefault="00000000" w:rsidP="00545037">
      <w:pPr>
        <w:spacing w:before="240" w:after="240" w:line="276" w:lineRule="auto"/>
        <w:jc w:val="both"/>
        <w:rPr>
          <w:rFonts w:ascii="Calibri" w:hAnsi="Calibri" w:cs="Calibri"/>
          <w:sz w:val="24"/>
          <w:szCs w:val="24"/>
          <w:lang w:val="es-ES"/>
        </w:rPr>
      </w:pPr>
      <w:r w:rsidRPr="00A6569B">
        <w:rPr>
          <w:rFonts w:ascii="Calibri" w:hAnsi="Calibri" w:cs="Calibri"/>
          <w:sz w:val="24"/>
          <w:szCs w:val="24"/>
          <w:lang w:val="es-ES"/>
        </w:rPr>
        <w:t>Tras menos de un año de obras, el nuevo centro logístico comenzará a operar justo a tiempo para la próxima campaña. Para su construcción se movieron más de 90.000 metros cuadrados de suelo contiguo al edificio principal de montaje.</w:t>
      </w:r>
    </w:p>
    <w:p w14:paraId="6B633A8F" w14:textId="77777777" w:rsidR="00CF425C" w:rsidRPr="00A6569B" w:rsidRDefault="00000000" w:rsidP="00545037">
      <w:pPr>
        <w:spacing w:before="240" w:after="240" w:line="276" w:lineRule="auto"/>
        <w:jc w:val="both"/>
        <w:rPr>
          <w:rFonts w:ascii="Calibri" w:hAnsi="Calibri" w:cs="Calibri"/>
          <w:sz w:val="24"/>
          <w:szCs w:val="24"/>
          <w:lang w:val="es-ES"/>
        </w:rPr>
      </w:pPr>
      <w:r w:rsidRPr="00A6569B">
        <w:rPr>
          <w:rFonts w:ascii="Calibri" w:hAnsi="Calibri" w:cs="Calibri"/>
          <w:sz w:val="24"/>
          <w:szCs w:val="24"/>
          <w:lang w:val="es-ES"/>
        </w:rPr>
        <w:t>El complejo cuenta con un sistema automatizado de almacenamiento para piezas pequeñas y pallets, un área de preparación de pedidos, zonas para componentes pintados de gran tamaño y un área de recepción de mercadería con capacidad para descargar tres camiones en simultáneo.</w:t>
      </w:r>
    </w:p>
    <w:p w14:paraId="58CA7416" w14:textId="77777777" w:rsidR="00CF425C" w:rsidRPr="00A6569B" w:rsidRDefault="00000000" w:rsidP="00545037">
      <w:pPr>
        <w:spacing w:before="240" w:after="240" w:line="276" w:lineRule="auto"/>
        <w:jc w:val="both"/>
        <w:rPr>
          <w:rFonts w:ascii="Calibri" w:hAnsi="Calibri" w:cs="Calibri"/>
          <w:sz w:val="24"/>
          <w:szCs w:val="24"/>
          <w:lang w:val="es-ES"/>
        </w:rPr>
      </w:pPr>
      <w:r w:rsidRPr="00A6569B">
        <w:rPr>
          <w:rFonts w:ascii="Calibri" w:hAnsi="Calibri" w:cs="Calibri"/>
          <w:sz w:val="24"/>
          <w:szCs w:val="24"/>
          <w:lang w:val="es-ES"/>
        </w:rPr>
        <w:t xml:space="preserve">La nave fue construida bajo el estándar de eficiencia energética KfW 40 y su techo está cubierto por paneles solares que generan hasta 990 </w:t>
      </w:r>
      <w:proofErr w:type="spellStart"/>
      <w:r w:rsidRPr="00A6569B">
        <w:rPr>
          <w:rFonts w:ascii="Calibri" w:hAnsi="Calibri" w:cs="Calibri"/>
          <w:sz w:val="24"/>
          <w:szCs w:val="24"/>
          <w:lang w:val="es-ES"/>
        </w:rPr>
        <w:t>kWp</w:t>
      </w:r>
      <w:proofErr w:type="spellEnd"/>
      <w:r w:rsidRPr="00A6569B">
        <w:rPr>
          <w:rFonts w:ascii="Calibri" w:hAnsi="Calibri" w:cs="Calibri"/>
          <w:sz w:val="24"/>
          <w:szCs w:val="24"/>
          <w:lang w:val="es-ES"/>
        </w:rPr>
        <w:t>, reforzando el compromiso de CLAAS con la sustentabilidad.</w:t>
      </w:r>
    </w:p>
    <w:p w14:paraId="69D45ECF" w14:textId="77777777" w:rsidR="00CF425C" w:rsidRPr="00A6569B" w:rsidRDefault="00000000" w:rsidP="00545037">
      <w:pPr>
        <w:pStyle w:val="Ttulo4"/>
        <w:keepNext w:val="0"/>
        <w:keepLines w:val="0"/>
        <w:spacing w:line="276" w:lineRule="auto"/>
        <w:jc w:val="both"/>
        <w:rPr>
          <w:rFonts w:ascii="Calibri" w:hAnsi="Calibri" w:cs="Calibri"/>
          <w:lang w:val="es-ES"/>
        </w:rPr>
      </w:pPr>
      <w:bookmarkStart w:id="1" w:name="_heading=h.my7jz9c7lyb" w:colFirst="0" w:colLast="0"/>
      <w:bookmarkEnd w:id="1"/>
      <w:r w:rsidRPr="00A6569B">
        <w:rPr>
          <w:rFonts w:ascii="Calibri" w:hAnsi="Calibri" w:cs="Calibri"/>
          <w:lang w:val="es-ES"/>
        </w:rPr>
        <w:t>Nuevos modelos, más producción</w:t>
      </w:r>
    </w:p>
    <w:p w14:paraId="03F39780" w14:textId="21BEB6E6" w:rsidR="00CF425C" w:rsidRPr="00A6569B" w:rsidRDefault="00000000" w:rsidP="00545037">
      <w:pPr>
        <w:spacing w:before="240" w:after="240" w:line="276" w:lineRule="auto"/>
        <w:jc w:val="both"/>
        <w:rPr>
          <w:rFonts w:ascii="Calibri" w:hAnsi="Calibri" w:cs="Calibri"/>
          <w:sz w:val="24"/>
          <w:szCs w:val="24"/>
          <w:lang w:val="es-ES"/>
        </w:rPr>
      </w:pPr>
      <w:r w:rsidRPr="00A6569B">
        <w:rPr>
          <w:rFonts w:ascii="Calibri" w:hAnsi="Calibri" w:cs="Calibri"/>
          <w:sz w:val="24"/>
          <w:szCs w:val="24"/>
          <w:lang w:val="es-ES"/>
        </w:rPr>
        <w:t xml:space="preserve">El portfolio de productos fabricados en Bad Saulgau no deja de crecer. Con </w:t>
      </w:r>
      <w:r w:rsidR="00B50AB9" w:rsidRPr="00A6569B">
        <w:rPr>
          <w:rFonts w:ascii="Calibri" w:hAnsi="Calibri" w:cs="Calibri"/>
          <w:sz w:val="24"/>
          <w:szCs w:val="24"/>
          <w:lang w:val="es-ES"/>
        </w:rPr>
        <w:t>el lanzamiento de</w:t>
      </w:r>
      <w:r w:rsidRPr="00A6569B">
        <w:rPr>
          <w:rFonts w:ascii="Calibri" w:hAnsi="Calibri" w:cs="Calibri"/>
          <w:sz w:val="24"/>
          <w:szCs w:val="24"/>
          <w:lang w:val="es-ES"/>
        </w:rPr>
        <w:t xml:space="preserve"> la nueva serie JAGUAR 1000, la empresa amplía su oferta de picadoras de forraje hacia un nuevo segmento de potencia.</w:t>
      </w:r>
      <w:r w:rsidR="00213FB2">
        <w:rPr>
          <w:rFonts w:ascii="Calibri" w:hAnsi="Calibri" w:cs="Calibri"/>
          <w:sz w:val="24"/>
          <w:szCs w:val="24"/>
          <w:lang w:val="es-ES"/>
        </w:rPr>
        <w:t xml:space="preserve"> </w:t>
      </w:r>
      <w:r w:rsidRPr="00A6569B">
        <w:rPr>
          <w:rFonts w:ascii="Calibri" w:hAnsi="Calibri" w:cs="Calibri"/>
          <w:sz w:val="24"/>
          <w:szCs w:val="24"/>
          <w:lang w:val="es-ES"/>
        </w:rPr>
        <w:t>“El flujo de cultivo rediseñado y los cabezales de gran tamaño aumentan considerablemente el volumen de producción en la planta”, explicó Ulrich Nickol, gerente de la fábrica CLAAS Saulgau.</w:t>
      </w:r>
    </w:p>
    <w:p w14:paraId="3307CD89" w14:textId="126555CB" w:rsidR="00CF425C" w:rsidRPr="00A6569B" w:rsidRDefault="00000000" w:rsidP="00545037">
      <w:pPr>
        <w:spacing w:before="240" w:after="240" w:line="276" w:lineRule="auto"/>
        <w:jc w:val="both"/>
        <w:rPr>
          <w:rFonts w:ascii="Calibri" w:hAnsi="Calibri" w:cs="Calibri"/>
          <w:sz w:val="24"/>
          <w:szCs w:val="24"/>
          <w:lang w:val="es-ES"/>
        </w:rPr>
      </w:pPr>
      <w:r w:rsidRPr="00A6569B">
        <w:rPr>
          <w:rFonts w:ascii="Calibri" w:hAnsi="Calibri" w:cs="Calibri"/>
          <w:sz w:val="24"/>
          <w:szCs w:val="24"/>
          <w:lang w:val="es-ES"/>
        </w:rPr>
        <w:lastRenderedPageBreak/>
        <w:t>En paralelo, se suman otras líneas de grandes equipos forrajeros que ya se ensamblan bajo un diseño de planta totalmente renovado, pensado para responder a las mayores exigencias de capacidad.</w:t>
      </w:r>
      <w:r w:rsidR="00213FB2">
        <w:rPr>
          <w:rFonts w:ascii="Calibri" w:hAnsi="Calibri" w:cs="Calibri"/>
          <w:sz w:val="24"/>
          <w:szCs w:val="24"/>
          <w:lang w:val="es-ES"/>
        </w:rPr>
        <w:t xml:space="preserve"> </w:t>
      </w:r>
      <w:r w:rsidRPr="00A6569B">
        <w:rPr>
          <w:rFonts w:ascii="Calibri" w:hAnsi="Calibri" w:cs="Calibri"/>
          <w:sz w:val="24"/>
          <w:szCs w:val="24"/>
          <w:lang w:val="es-ES"/>
        </w:rPr>
        <w:t>“El proyecto demuestra lo que puede lograrse cuando todos trabajan en la misma dirección. Cumplimos los plazos y el presupuesto, y el nuevo esquema de producción llega en el momento justo”, subrayó Nickol.</w:t>
      </w:r>
    </w:p>
    <w:p w14:paraId="4D64D7E9" w14:textId="77777777" w:rsidR="00CF425C" w:rsidRPr="00A6569B" w:rsidRDefault="00000000" w:rsidP="00545037">
      <w:pPr>
        <w:spacing w:before="240" w:after="240" w:line="276" w:lineRule="auto"/>
        <w:jc w:val="both"/>
        <w:rPr>
          <w:rFonts w:ascii="Calibri" w:hAnsi="Calibri" w:cs="Calibri"/>
          <w:sz w:val="24"/>
          <w:szCs w:val="24"/>
          <w:lang w:val="es-ES"/>
        </w:rPr>
      </w:pPr>
      <w:r w:rsidRPr="00A6569B">
        <w:rPr>
          <w:rFonts w:ascii="Calibri" w:hAnsi="Calibri" w:cs="Calibri"/>
          <w:sz w:val="24"/>
          <w:szCs w:val="24"/>
          <w:lang w:val="es-ES"/>
        </w:rPr>
        <w:t>Para cumplir con los compromisos de entrega de la campaña 2026, la empresa incorporó personal adicional en las áreas de producción.</w:t>
      </w:r>
    </w:p>
    <w:p w14:paraId="30BBE900" w14:textId="77777777" w:rsidR="00CF425C" w:rsidRPr="00A6569B" w:rsidRDefault="00000000" w:rsidP="00545037">
      <w:pPr>
        <w:pStyle w:val="Ttulo4"/>
        <w:keepNext w:val="0"/>
        <w:keepLines w:val="0"/>
        <w:spacing w:line="276" w:lineRule="auto"/>
        <w:jc w:val="both"/>
        <w:rPr>
          <w:rFonts w:ascii="Calibri" w:hAnsi="Calibri" w:cs="Calibri"/>
          <w:lang w:val="es-ES"/>
        </w:rPr>
      </w:pPr>
      <w:bookmarkStart w:id="2" w:name="_heading=h.au5iibd1lwzh" w:colFirst="0" w:colLast="0"/>
      <w:bookmarkEnd w:id="2"/>
      <w:r w:rsidRPr="00A6569B">
        <w:rPr>
          <w:rFonts w:ascii="Calibri" w:hAnsi="Calibri" w:cs="Calibri"/>
          <w:lang w:val="es-ES"/>
        </w:rPr>
        <w:t>Próximos pasos</w:t>
      </w:r>
    </w:p>
    <w:p w14:paraId="33E6794C" w14:textId="77777777" w:rsidR="00CF425C" w:rsidRPr="00A6569B" w:rsidRDefault="00000000" w:rsidP="00545037">
      <w:pPr>
        <w:spacing w:before="240" w:after="240" w:line="276" w:lineRule="auto"/>
        <w:jc w:val="both"/>
        <w:rPr>
          <w:rFonts w:ascii="Calibri" w:hAnsi="Calibri" w:cs="Calibri"/>
          <w:sz w:val="24"/>
          <w:szCs w:val="24"/>
          <w:lang w:val="es-ES"/>
        </w:rPr>
      </w:pPr>
      <w:r w:rsidRPr="00A6569B">
        <w:rPr>
          <w:rFonts w:ascii="Calibri" w:hAnsi="Calibri" w:cs="Calibri"/>
          <w:sz w:val="24"/>
          <w:szCs w:val="24"/>
          <w:lang w:val="es-ES"/>
        </w:rPr>
        <w:t xml:space="preserve">Mientras tanto, la antigua </w:t>
      </w:r>
      <w:r w:rsidR="00B07001" w:rsidRPr="00A6569B">
        <w:rPr>
          <w:rFonts w:ascii="Calibri" w:hAnsi="Calibri" w:cs="Calibri"/>
          <w:sz w:val="24"/>
          <w:szCs w:val="24"/>
          <w:lang w:val="es-ES"/>
        </w:rPr>
        <w:t>edificación</w:t>
      </w:r>
      <w:r w:rsidRPr="00A6569B">
        <w:rPr>
          <w:rFonts w:ascii="Calibri" w:hAnsi="Calibri" w:cs="Calibri"/>
          <w:sz w:val="24"/>
          <w:szCs w:val="24"/>
          <w:lang w:val="es-ES"/>
        </w:rPr>
        <w:t xml:space="preserve"> del predio —ya fuera de uso— está siendo demolida. En ese espacio se liberarán 10.700 metros cuadrados que se destinarán a futuras ampliaciones.</w:t>
      </w:r>
    </w:p>
    <w:p w14:paraId="2BC81959" w14:textId="77777777" w:rsidR="00CF425C" w:rsidRPr="00A6569B" w:rsidRDefault="00000000" w:rsidP="00545037">
      <w:pPr>
        <w:spacing w:before="240" w:after="240" w:line="276" w:lineRule="auto"/>
        <w:jc w:val="both"/>
        <w:rPr>
          <w:rFonts w:ascii="Calibri" w:hAnsi="Calibri" w:cs="Calibri"/>
          <w:sz w:val="24"/>
          <w:szCs w:val="24"/>
          <w:lang w:val="es-ES"/>
        </w:rPr>
      </w:pPr>
      <w:r w:rsidRPr="00A6569B">
        <w:rPr>
          <w:rFonts w:ascii="Calibri" w:hAnsi="Calibri" w:cs="Calibri"/>
          <w:sz w:val="24"/>
          <w:szCs w:val="24"/>
          <w:lang w:val="es-ES"/>
        </w:rPr>
        <w:t>Entre los próximos proyectos figura la construcción de un nuevo centro de configuración de 1.700 metros cuadrados, que permitirá realizar adaptaciones específicas para clientes, auditorías y tareas de posproducción, previstas para 2026.</w:t>
      </w:r>
    </w:p>
    <w:p w14:paraId="368142C6" w14:textId="77777777" w:rsidR="00CF425C" w:rsidRPr="00A6569B" w:rsidRDefault="00000000" w:rsidP="00545037">
      <w:pPr>
        <w:pStyle w:val="Ttulo4"/>
        <w:keepNext w:val="0"/>
        <w:keepLines w:val="0"/>
        <w:spacing w:line="276" w:lineRule="auto"/>
        <w:jc w:val="both"/>
        <w:rPr>
          <w:rFonts w:ascii="Calibri" w:hAnsi="Calibri" w:cs="Calibri"/>
          <w:lang w:val="es-ES"/>
        </w:rPr>
      </w:pPr>
      <w:bookmarkStart w:id="3" w:name="_heading=h.tduz89hbgce9" w:colFirst="0" w:colLast="0"/>
      <w:bookmarkEnd w:id="3"/>
      <w:r w:rsidRPr="00A6569B">
        <w:rPr>
          <w:rFonts w:ascii="Calibri" w:hAnsi="Calibri" w:cs="Calibri"/>
          <w:lang w:val="es-ES"/>
        </w:rPr>
        <w:t>Logística integrada: nuevo centro de distribución</w:t>
      </w:r>
    </w:p>
    <w:p w14:paraId="17EB7ECC" w14:textId="77777777" w:rsidR="00CF425C" w:rsidRPr="00A6569B" w:rsidRDefault="00000000" w:rsidP="00545037">
      <w:pPr>
        <w:spacing w:before="240" w:after="240" w:line="276" w:lineRule="auto"/>
        <w:jc w:val="both"/>
        <w:rPr>
          <w:rFonts w:ascii="Calibri" w:hAnsi="Calibri" w:cs="Calibri"/>
          <w:sz w:val="24"/>
          <w:szCs w:val="24"/>
          <w:lang w:val="es-ES"/>
        </w:rPr>
      </w:pPr>
      <w:r w:rsidRPr="00A6569B">
        <w:rPr>
          <w:rFonts w:ascii="Calibri" w:hAnsi="Calibri" w:cs="Calibri"/>
          <w:sz w:val="24"/>
          <w:szCs w:val="24"/>
          <w:lang w:val="es-ES"/>
        </w:rPr>
        <w:t>A pocos kilómetros de la planta, la empresa Spedition Grieshaber, socia logística de CLAAS, inauguró en abril un nuevo predio de 70.000 metros cuadrados. Desde allí se concentrarán todas las operaciones de despacho y envío de maquinaria hacia los mercados internacionales.</w:t>
      </w:r>
    </w:p>
    <w:p w14:paraId="17917972" w14:textId="77777777" w:rsidR="00545037" w:rsidRDefault="00000000" w:rsidP="00545037">
      <w:pPr>
        <w:spacing w:before="240" w:after="240" w:line="276" w:lineRule="auto"/>
        <w:jc w:val="both"/>
        <w:rPr>
          <w:rFonts w:ascii="Calibri" w:hAnsi="Calibri" w:cs="Calibri"/>
          <w:sz w:val="24"/>
          <w:szCs w:val="24"/>
          <w:lang w:val="es-ES"/>
        </w:rPr>
      </w:pPr>
      <w:r w:rsidRPr="00A6569B">
        <w:rPr>
          <w:rFonts w:ascii="Calibri" w:hAnsi="Calibri" w:cs="Calibri"/>
          <w:sz w:val="24"/>
          <w:szCs w:val="24"/>
          <w:lang w:val="es-ES"/>
        </w:rPr>
        <w:t>Los equipos terminados se almacenan temporalmente, se preparan y se despachan directamente a los distribuidores CLAAS o en contenedores marítimos. Con el aumento del volumen de producción, las instalaciones anteriores habían quedado chicas.</w:t>
      </w:r>
    </w:p>
    <w:p w14:paraId="0E77EEF9" w14:textId="4502CD79" w:rsidR="00CF425C" w:rsidRPr="00A6569B" w:rsidRDefault="00000000" w:rsidP="00545037">
      <w:pPr>
        <w:spacing w:before="240" w:after="240" w:line="276" w:lineRule="auto"/>
        <w:jc w:val="both"/>
        <w:rPr>
          <w:rFonts w:ascii="Calibri" w:hAnsi="Calibri" w:cs="Calibri"/>
          <w:sz w:val="24"/>
          <w:szCs w:val="24"/>
          <w:lang w:val="es-ES"/>
        </w:rPr>
      </w:pPr>
      <w:r w:rsidRPr="00A6569B">
        <w:rPr>
          <w:rFonts w:ascii="Calibri" w:hAnsi="Calibri" w:cs="Calibri"/>
          <w:sz w:val="24"/>
          <w:szCs w:val="24"/>
          <w:lang w:val="es-ES"/>
        </w:rPr>
        <w:t>La alianza entre ambas compañías continúa, ahora con mayor eficiencia y capacidad operativa.</w:t>
      </w:r>
    </w:p>
    <w:p w14:paraId="2A178FD0" w14:textId="77777777" w:rsidR="00CF425C" w:rsidRPr="00A6569B" w:rsidRDefault="00CF425C" w:rsidP="00545037">
      <w:pPr>
        <w:spacing w:line="276" w:lineRule="auto"/>
        <w:rPr>
          <w:rFonts w:ascii="Calibri" w:hAnsi="Calibri" w:cs="Calibri"/>
          <w:b/>
          <w:sz w:val="24"/>
          <w:szCs w:val="24"/>
          <w:lang w:val="es-ES"/>
        </w:rPr>
      </w:pPr>
    </w:p>
    <w:p w14:paraId="64F4F1BB" w14:textId="5F96AB89" w:rsidR="00CF425C" w:rsidRDefault="00FC3AE3" w:rsidP="00545037">
      <w:pPr>
        <w:spacing w:line="276" w:lineRule="auto"/>
        <w:rPr>
          <w:rFonts w:ascii="Calibri" w:hAnsi="Calibri" w:cs="Calibri"/>
          <w:bCs/>
          <w:i/>
          <w:iCs/>
          <w:lang w:val="es-ES"/>
        </w:rPr>
      </w:pPr>
      <w:r w:rsidRPr="00FC3AE3">
        <w:rPr>
          <w:rFonts w:ascii="Calibri" w:hAnsi="Calibri" w:cs="Calibri"/>
          <w:bCs/>
          <w:i/>
          <w:iCs/>
          <w:lang w:val="es-ES"/>
        </w:rPr>
        <w:t>Acerca de CLAAS</w:t>
      </w:r>
    </w:p>
    <w:p w14:paraId="5F21B910" w14:textId="77777777" w:rsidR="00FC3AE3" w:rsidRPr="00FC3AE3" w:rsidRDefault="00FC3AE3" w:rsidP="00545037">
      <w:pPr>
        <w:spacing w:line="276" w:lineRule="auto"/>
        <w:rPr>
          <w:rFonts w:ascii="Calibri" w:hAnsi="Calibri" w:cs="Calibri"/>
          <w:bCs/>
          <w:i/>
          <w:iCs/>
          <w:lang w:val="es-ES"/>
        </w:rPr>
      </w:pPr>
    </w:p>
    <w:p w14:paraId="57259672" w14:textId="1344CA42" w:rsidR="00062B31" w:rsidRPr="00FC3AE3" w:rsidRDefault="00000000" w:rsidP="00545037">
      <w:pPr>
        <w:spacing w:line="276" w:lineRule="auto"/>
        <w:jc w:val="both"/>
        <w:rPr>
          <w:rFonts w:ascii="Calibri" w:hAnsi="Calibri" w:cs="Calibri"/>
          <w:i/>
          <w:iCs/>
          <w:lang w:val="es-ES"/>
        </w:rPr>
      </w:pPr>
      <w:r w:rsidRPr="00FC3AE3">
        <w:rPr>
          <w:rFonts w:ascii="Calibri" w:hAnsi="Calibri" w:cs="Calibri"/>
          <w:i/>
          <w:iCs/>
          <w:lang w:val="es-ES"/>
        </w:rPr>
        <w:t xml:space="preserve">Fundada en 1913, CLAAS </w:t>
      </w:r>
      <w:r w:rsidRPr="00FC3AE3">
        <w:rPr>
          <w:rFonts w:asciiTheme="minorHAnsi" w:hAnsiTheme="minorHAnsi" w:cstheme="minorHAnsi"/>
          <w:i/>
          <w:iCs/>
          <w:lang w:val="es-ES"/>
        </w:rPr>
        <w:t>(</w:t>
      </w:r>
      <w:hyperlink r:id="rId7" w:history="1">
        <w:r w:rsidR="00FC3AE3" w:rsidRPr="00FC3AE3">
          <w:rPr>
            <w:rStyle w:val="Hipervnculo"/>
            <w:rFonts w:asciiTheme="minorHAnsi" w:hAnsiTheme="minorHAnsi" w:cstheme="minorHAnsi"/>
            <w:i/>
            <w:iCs/>
            <w:lang w:val="es-ES"/>
          </w:rPr>
          <w:t>https://www.claas.com/es-ar</w:t>
        </w:r>
      </w:hyperlink>
      <w:r w:rsidRPr="00FC3AE3">
        <w:rPr>
          <w:rFonts w:asciiTheme="minorHAnsi" w:hAnsiTheme="minorHAnsi" w:cstheme="minorHAnsi"/>
          <w:i/>
          <w:iCs/>
          <w:lang w:val="es-ES"/>
        </w:rPr>
        <w:t>)</w:t>
      </w:r>
      <w:r w:rsidRPr="00FC3AE3">
        <w:rPr>
          <w:rFonts w:ascii="Calibri" w:hAnsi="Calibri" w:cs="Calibri"/>
          <w:i/>
          <w:iCs/>
          <w:lang w:val="es-ES"/>
        </w:rPr>
        <w:t xml:space="preserve"> es una empresa familiar y uno de los principales fabricantes mundiales de maquinaria agrícola.</w:t>
      </w:r>
      <w:r w:rsidR="00FC3AE3">
        <w:rPr>
          <w:rFonts w:ascii="Calibri" w:hAnsi="Calibri" w:cs="Calibri"/>
          <w:i/>
          <w:iCs/>
          <w:lang w:val="es-ES"/>
        </w:rPr>
        <w:t xml:space="preserve"> </w:t>
      </w:r>
      <w:r w:rsidRPr="00FC3AE3">
        <w:rPr>
          <w:rFonts w:ascii="Calibri" w:hAnsi="Calibri" w:cs="Calibri"/>
          <w:i/>
          <w:iCs/>
          <w:lang w:val="es-ES"/>
        </w:rPr>
        <w:t xml:space="preserve">Con sede central en </w:t>
      </w:r>
      <w:proofErr w:type="spellStart"/>
      <w:r w:rsidRPr="00FC3AE3">
        <w:rPr>
          <w:rFonts w:ascii="Calibri" w:hAnsi="Calibri" w:cs="Calibri"/>
          <w:i/>
          <w:iCs/>
          <w:lang w:val="es-ES"/>
        </w:rPr>
        <w:t>Harsewinkel</w:t>
      </w:r>
      <w:proofErr w:type="spellEnd"/>
      <w:r w:rsidRPr="00FC3AE3">
        <w:rPr>
          <w:rFonts w:ascii="Calibri" w:hAnsi="Calibri" w:cs="Calibri"/>
          <w:i/>
          <w:iCs/>
          <w:lang w:val="es-ES"/>
        </w:rPr>
        <w:t>, Westfalia, la compañía es líder mundial en picadoras de forraje y líder del mercado europeo en cosechadoras.</w:t>
      </w:r>
      <w:r w:rsidR="00FC3AE3">
        <w:rPr>
          <w:rFonts w:ascii="Calibri" w:hAnsi="Calibri" w:cs="Calibri"/>
          <w:i/>
          <w:iCs/>
          <w:lang w:val="es-ES"/>
        </w:rPr>
        <w:t xml:space="preserve"> </w:t>
      </w:r>
      <w:r w:rsidRPr="00FC3AE3">
        <w:rPr>
          <w:rFonts w:ascii="Calibri" w:hAnsi="Calibri" w:cs="Calibri"/>
          <w:i/>
          <w:iCs/>
          <w:lang w:val="es-ES"/>
        </w:rPr>
        <w:t>CLAAS también ocupa una posición destacada a nivel global en tractores, empacadoras y equipos para el manejo de forrajes, además de ofrecer soluciones avanzadas en tecnología de información aplicada a la agricultura.</w:t>
      </w:r>
      <w:r w:rsidR="00FC3AE3" w:rsidRPr="00FC3AE3">
        <w:rPr>
          <w:rFonts w:ascii="Calibri" w:hAnsi="Calibri" w:cs="Calibri"/>
          <w:i/>
          <w:iCs/>
          <w:lang w:val="es-ES"/>
        </w:rPr>
        <w:t xml:space="preserve"> </w:t>
      </w:r>
      <w:r w:rsidRPr="00FC3AE3">
        <w:rPr>
          <w:rFonts w:ascii="Calibri" w:hAnsi="Calibri" w:cs="Calibri"/>
          <w:i/>
          <w:iCs/>
          <w:lang w:val="es-ES"/>
        </w:rPr>
        <w:t>La empresa emplea a 12.000 personas en todo el mundo y alcanzó una facturación de 5.000 millones de euros en el ejercicio 2024.</w:t>
      </w:r>
    </w:p>
    <w:sectPr w:rsidR="00062B31" w:rsidRPr="00FC3AE3">
      <w:headerReference w:type="default" r:id="rId8"/>
      <w:footerReference w:type="default" r:id="rId9"/>
      <w:headerReference w:type="first" r:id="rId10"/>
      <w:footerReference w:type="first" r:id="rId11"/>
      <w:pgSz w:w="11906" w:h="16838"/>
      <w:pgMar w:top="1797" w:right="1418" w:bottom="1134" w:left="1418" w:header="851" w:footer="5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22198" w14:textId="77777777" w:rsidR="00263852" w:rsidRDefault="00263852">
      <w:r>
        <w:separator/>
      </w:r>
    </w:p>
  </w:endnote>
  <w:endnote w:type="continuationSeparator" w:id="0">
    <w:p w14:paraId="59797B51" w14:textId="77777777" w:rsidR="00263852" w:rsidRDefault="00263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DA26" w14:textId="77777777" w:rsidR="00CF425C" w:rsidRDefault="00000000">
    <w:pPr>
      <w:pBdr>
        <w:top w:val="nil"/>
        <w:left w:val="nil"/>
        <w:bottom w:val="nil"/>
        <w:right w:val="nil"/>
        <w:between w:val="nil"/>
      </w:pBdr>
      <w:tabs>
        <w:tab w:val="center" w:pos="4536"/>
        <w:tab w:val="right" w:pos="9072"/>
      </w:tabs>
      <w:rPr>
        <w:color w:val="000000"/>
      </w:rPr>
    </w:pPr>
    <w:r>
      <w:rPr>
        <w:noProof/>
      </w:rPr>
      <mc:AlternateContent>
        <mc:Choice Requires="wps">
          <w:drawing>
            <wp:anchor distT="0" distB="0" distL="114300" distR="114300" simplePos="0" relativeHeight="251659264" behindDoc="0" locked="0" layoutInCell="1" hidden="0" allowOverlap="1" wp14:anchorId="4481343D" wp14:editId="2BBDEC57">
              <wp:simplePos x="0" y="0"/>
              <wp:positionH relativeFrom="column">
                <wp:posOffset>-85406</wp:posOffset>
              </wp:positionH>
              <wp:positionV relativeFrom="paragraph">
                <wp:posOffset>71438</wp:posOffset>
              </wp:positionV>
              <wp:extent cx="6524625" cy="923925"/>
              <wp:effectExtent l="0" t="0" r="0" b="0"/>
              <wp:wrapNone/>
              <wp:docPr id="6" name="Rectángulo 6"/>
              <wp:cNvGraphicFramePr/>
              <a:graphic xmlns:a="http://schemas.openxmlformats.org/drawingml/2006/main">
                <a:graphicData uri="http://schemas.microsoft.com/office/word/2010/wordprocessingShape">
                  <wps:wsp>
                    <wps:cNvSpPr/>
                    <wps:spPr>
                      <a:xfrm>
                        <a:off x="2088450" y="3322800"/>
                        <a:ext cx="6515100" cy="914400"/>
                      </a:xfrm>
                      <a:prstGeom prst="rect">
                        <a:avLst/>
                      </a:prstGeom>
                      <a:solidFill>
                        <a:srgbClr val="FFFFFF"/>
                      </a:solidFill>
                      <a:ln>
                        <a:noFill/>
                      </a:ln>
                    </wps:spPr>
                    <wps:txbx>
                      <w:txbxContent>
                        <w:p w14:paraId="1695E196" w14:textId="77777777" w:rsidR="00CF425C" w:rsidRDefault="00CF425C">
                          <w:pPr>
                            <w:textDirection w:val="btLr"/>
                          </w:pPr>
                        </w:p>
                        <w:p w14:paraId="0EFBE9C6" w14:textId="77777777" w:rsidR="00CF425C" w:rsidRDefault="00CF425C">
                          <w:pPr>
                            <w:textDirection w:val="btLr"/>
                          </w:pPr>
                        </w:p>
                        <w:p w14:paraId="7143FFD5" w14:textId="77777777" w:rsidR="00CF425C" w:rsidRDefault="00000000">
                          <w:pPr>
                            <w:textDirection w:val="btLr"/>
                          </w:pPr>
                          <w:r>
                            <w:rPr>
                              <w:color w:val="808080"/>
                              <w:sz w:val="28"/>
                            </w:rPr>
                            <w:t xml:space="preserve">                                                                                                               </w:t>
                          </w:r>
                        </w:p>
                      </w:txbxContent>
                    </wps:txbx>
                    <wps:bodyPr spcFirstLastPara="1" wrap="square" lIns="91425" tIns="45700" rIns="91425" bIns="45700" anchor="t" anchorCtr="0">
                      <a:noAutofit/>
                    </wps:bodyPr>
                  </wps:wsp>
                </a:graphicData>
              </a:graphic>
            </wp:anchor>
          </w:drawing>
        </mc:Choice>
        <mc:Fallback>
          <w:pict>
            <v:rect w14:anchorId="4481343D" id="Rectángulo 6" o:spid="_x0000_s1026" style="position:absolute;margin-left:-6.7pt;margin-top:5.65pt;width:513.75pt;height:7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" stroked="f">
              <v:textbox inset="2.53958mm,1.2694mm,2.53958mm,1.2694mm">
                <w:txbxContent>
                  <w:p w14:paraId="1695E196" w14:textId="77777777" w:rsidR="00CF425C" w:rsidRDefault="00CF425C">
                    <w:pPr>
                      <w:textDirection w:val="btLr"/>
                    </w:pPr>
                  </w:p>
                  <w:p w14:paraId="0EFBE9C6" w14:textId="77777777" w:rsidR="00CF425C" w:rsidRDefault="00CF425C">
                    <w:pPr>
                      <w:textDirection w:val="btLr"/>
                    </w:pPr>
                  </w:p>
                  <w:p w14:paraId="7143FFD5" w14:textId="77777777" w:rsidR="00CF425C" w:rsidRDefault="00000000">
                    <w:pPr>
                      <w:textDirection w:val="btLr"/>
                    </w:pPr>
                    <w:r>
                      <w:rPr>
                        <w:color w:val="808080"/>
                        <w:sz w:val="28"/>
                      </w:rPr>
                      <w:t xml:space="preserve">                                                                                                               </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6C860" w14:textId="77777777" w:rsidR="00204C85" w:rsidRPr="00204C85" w:rsidRDefault="00000000" w:rsidP="00204C85">
    <w:pPr>
      <w:pStyle w:val="Piedepgina"/>
      <w:jc w:val="right"/>
      <w:rPr>
        <w:sz w:val="16"/>
        <w:szCs w:val="16"/>
        <w:lang w:val="es-ES"/>
      </w:rPr>
    </w:pPr>
    <w:r w:rsidRPr="00204C85">
      <w:rPr>
        <w:sz w:val="16"/>
        <w:szCs w:val="16"/>
        <w:lang w:val="es-ES"/>
      </w:rPr>
      <w:t xml:space="preserve"> </w:t>
    </w:r>
    <w:r w:rsidR="00204C85" w:rsidRPr="00204C85">
      <w:rPr>
        <w:sz w:val="16"/>
        <w:szCs w:val="16"/>
        <w:lang w:val="es-ES"/>
      </w:rPr>
      <w:t>Prensa: SAVIA Comunicación</w:t>
    </w:r>
  </w:p>
  <w:p w14:paraId="4D71D368" w14:textId="77777777" w:rsidR="00204C85" w:rsidRPr="00204C85" w:rsidRDefault="00204C85" w:rsidP="00204C85">
    <w:pPr>
      <w:pStyle w:val="Piedepgina"/>
      <w:jc w:val="right"/>
      <w:rPr>
        <w:sz w:val="16"/>
        <w:szCs w:val="16"/>
        <w:lang w:val="es-ES"/>
      </w:rPr>
    </w:pPr>
    <w:r w:rsidRPr="00204C85">
      <w:rPr>
        <w:sz w:val="16"/>
        <w:szCs w:val="16"/>
        <w:lang w:val="es-ES"/>
      </w:rPr>
      <w:t> Tel. +54 9 11 6967 2255</w:t>
    </w:r>
  </w:p>
  <w:p w14:paraId="7CC0278D" w14:textId="710E4C55" w:rsidR="00CF425C" w:rsidRPr="00204C85" w:rsidRDefault="00204C85" w:rsidP="00204C85">
    <w:pPr>
      <w:pStyle w:val="Piedepgina"/>
      <w:jc w:val="right"/>
      <w:rPr>
        <w:sz w:val="16"/>
        <w:szCs w:val="16"/>
        <w:lang w:val="es-ES"/>
      </w:rPr>
    </w:pPr>
    <w:r w:rsidRPr="00204C85">
      <w:rPr>
        <w:sz w:val="16"/>
        <w:szCs w:val="16"/>
        <w:lang w:val="es-ES"/>
      </w:rPr>
      <w:t>prensa@saviacomunicacion.com.ar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F7953" w14:textId="77777777" w:rsidR="00263852" w:rsidRDefault="00263852">
      <w:r>
        <w:separator/>
      </w:r>
    </w:p>
  </w:footnote>
  <w:footnote w:type="continuationSeparator" w:id="0">
    <w:p w14:paraId="70575FDB" w14:textId="77777777" w:rsidR="00263852" w:rsidRDefault="00263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B34B" w14:textId="6DFFDEE1" w:rsidR="00CF425C" w:rsidRPr="00EB40AF" w:rsidRDefault="00EB40AF" w:rsidP="00EB40AF">
    <w:pPr>
      <w:pStyle w:val="Encabezado"/>
    </w:pPr>
    <w:r>
      <w:rPr>
        <w:noProof/>
      </w:rPr>
      <w:drawing>
        <wp:anchor distT="0" distB="0" distL="114300" distR="114300" simplePos="0" relativeHeight="251663360" behindDoc="0" locked="0" layoutInCell="1" hidden="0" allowOverlap="1" wp14:anchorId="5C1BA972" wp14:editId="0C165CD2">
          <wp:simplePos x="0" y="0"/>
          <wp:positionH relativeFrom="margin">
            <wp:align>right</wp:align>
          </wp:positionH>
          <wp:positionV relativeFrom="paragraph">
            <wp:posOffset>-133350</wp:posOffset>
          </wp:positionV>
          <wp:extent cx="2162175" cy="361950"/>
          <wp:effectExtent l="0" t="0" r="9525" b="0"/>
          <wp:wrapSquare wrapText="bothSides" distT="0" distB="0" distL="114300" distR="114300"/>
          <wp:docPr id="1554144077" name="image1.jpg" descr="132679_Office"/>
          <wp:cNvGraphicFramePr/>
          <a:graphic xmlns:a="http://schemas.openxmlformats.org/drawingml/2006/main">
            <a:graphicData uri="http://schemas.openxmlformats.org/drawingml/2006/picture">
              <pic:pic xmlns:pic="http://schemas.openxmlformats.org/drawingml/2006/picture">
                <pic:nvPicPr>
                  <pic:cNvPr id="0" name="image1.jpg" descr="132679_Office"/>
                  <pic:cNvPicPr preferRelativeResize="0"/>
                </pic:nvPicPr>
                <pic:blipFill>
                  <a:blip r:embed="rId1"/>
                  <a:srcRect/>
                  <a:stretch>
                    <a:fillRect/>
                  </a:stretch>
                </pic:blipFill>
                <pic:spPr>
                  <a:xfrm>
                    <a:off x="0" y="0"/>
                    <a:ext cx="2162175" cy="361950"/>
                  </a:xfrm>
                  <a:prstGeom prst="rect">
                    <a:avLst/>
                  </a:prstGeom>
                  <a:ln/>
                </pic:spPr>
              </pic:pic>
            </a:graphicData>
          </a:graphic>
        </wp:anchor>
      </w:drawing>
    </w:r>
    <w:r>
      <w:rPr>
        <w:color w:val="000000"/>
      </w:rPr>
      <w:t>Press Information</w:t>
    </w:r>
  </w:p>
  <w:p w14:paraId="6A8F2F2B" w14:textId="6989F706" w:rsidR="00CF425C" w:rsidRDefault="00CF425C">
    <w:pPr>
      <w:pBdr>
        <w:top w:val="nil"/>
        <w:left w:val="nil"/>
        <w:bottom w:val="nil"/>
        <w:right w:val="nil"/>
        <w:between w:val="nil"/>
      </w:pBdr>
      <w:tabs>
        <w:tab w:val="center" w:pos="4536"/>
        <w:tab w:val="right" w:pos="9072"/>
      </w:tabs>
      <w:rPr>
        <w:b/>
        <w:color w:val="000000"/>
      </w:rPr>
    </w:pPr>
  </w:p>
  <w:p w14:paraId="12116641" w14:textId="77777777" w:rsidR="00CF425C" w:rsidRDefault="00CF425C">
    <w:pPr>
      <w:pBdr>
        <w:top w:val="nil"/>
        <w:left w:val="nil"/>
        <w:bottom w:val="nil"/>
        <w:right w:val="nil"/>
        <w:between w:val="nil"/>
      </w:pBdr>
      <w:tabs>
        <w:tab w:val="center" w:pos="4536"/>
        <w:tab w:val="right" w:pos="9072"/>
      </w:tabs>
      <w:rPr>
        <w:b/>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6569" w14:textId="77777777" w:rsidR="00CF425C" w:rsidRDefault="00CF425C">
    <w:pPr>
      <w:pBdr>
        <w:top w:val="nil"/>
        <w:left w:val="nil"/>
        <w:bottom w:val="nil"/>
        <w:right w:val="nil"/>
        <w:between w:val="nil"/>
      </w:pBdr>
      <w:tabs>
        <w:tab w:val="center" w:pos="4536"/>
        <w:tab w:val="right" w:pos="9072"/>
      </w:tabs>
      <w:rPr>
        <w:b/>
        <w:color w:val="000000"/>
        <w:sz w:val="24"/>
        <w:szCs w:val="24"/>
      </w:rPr>
    </w:pPr>
  </w:p>
  <w:p w14:paraId="6C8E3E97" w14:textId="1307F920" w:rsidR="00CF425C" w:rsidRDefault="00EB40AF">
    <w:pPr>
      <w:pBdr>
        <w:top w:val="nil"/>
        <w:left w:val="nil"/>
        <w:bottom w:val="nil"/>
        <w:right w:val="nil"/>
        <w:between w:val="nil"/>
      </w:pBdr>
      <w:tabs>
        <w:tab w:val="center" w:pos="4536"/>
        <w:tab w:val="right" w:pos="9072"/>
      </w:tabs>
      <w:rPr>
        <w:b/>
        <w:color w:val="000000"/>
        <w:sz w:val="24"/>
        <w:szCs w:val="24"/>
      </w:rPr>
    </w:pPr>
    <w:r>
      <w:rPr>
        <w:noProof/>
      </w:rPr>
      <w:drawing>
        <wp:anchor distT="0" distB="0" distL="114300" distR="114300" simplePos="0" relativeHeight="251661312" behindDoc="0" locked="0" layoutInCell="1" hidden="0" allowOverlap="1" wp14:anchorId="33ECE916" wp14:editId="36071C21">
          <wp:simplePos x="0" y="0"/>
          <wp:positionH relativeFrom="margin">
            <wp:align>right</wp:align>
          </wp:positionH>
          <wp:positionV relativeFrom="paragraph">
            <wp:posOffset>56515</wp:posOffset>
          </wp:positionV>
          <wp:extent cx="2162175" cy="361950"/>
          <wp:effectExtent l="0" t="0" r="9525" b="0"/>
          <wp:wrapSquare wrapText="bothSides" distT="0" distB="0" distL="114300" distR="114300"/>
          <wp:docPr id="17" name="image1.jpg" descr="132679_Office"/>
          <wp:cNvGraphicFramePr/>
          <a:graphic xmlns:a="http://schemas.openxmlformats.org/drawingml/2006/main">
            <a:graphicData uri="http://schemas.openxmlformats.org/drawingml/2006/picture">
              <pic:pic xmlns:pic="http://schemas.openxmlformats.org/drawingml/2006/picture">
                <pic:nvPicPr>
                  <pic:cNvPr id="0" name="image1.jpg" descr="132679_Office"/>
                  <pic:cNvPicPr preferRelativeResize="0"/>
                </pic:nvPicPr>
                <pic:blipFill>
                  <a:blip r:embed="rId1"/>
                  <a:srcRect/>
                  <a:stretch>
                    <a:fillRect/>
                  </a:stretch>
                </pic:blipFill>
                <pic:spPr>
                  <a:xfrm>
                    <a:off x="0" y="0"/>
                    <a:ext cx="2162175" cy="361950"/>
                  </a:xfrm>
                  <a:prstGeom prst="rect">
                    <a:avLst/>
                  </a:prstGeom>
                  <a:ln/>
                </pic:spPr>
              </pic:pic>
            </a:graphicData>
          </a:graphic>
        </wp:anchor>
      </w:drawing>
    </w:r>
  </w:p>
  <w:p w14:paraId="280411B4" w14:textId="0F9AA97A" w:rsidR="00CF425C" w:rsidRPr="00A6569B" w:rsidRDefault="00A6569B" w:rsidP="00A6569B">
    <w:pPr>
      <w:pStyle w:val="Encabezado"/>
      <w:rPr>
        <w:rFonts w:ascii="Calibri" w:hAnsi="Calibri" w:cs="Calibri"/>
        <w:sz w:val="24"/>
        <w:szCs w:val="24"/>
      </w:rPr>
    </w:pPr>
    <w:r w:rsidRPr="00A6569B">
      <w:rPr>
        <w:rFonts w:ascii="Calibri" w:hAnsi="Calibri" w:cs="Calibri"/>
        <w:color w:val="000000"/>
        <w:sz w:val="24"/>
        <w:szCs w:val="24"/>
      </w:rPr>
      <w:t xml:space="preserve">Press </w:t>
    </w:r>
    <w:r w:rsidRPr="00A6569B">
      <w:rPr>
        <w:rFonts w:ascii="Calibri" w:hAnsi="Calibri" w:cs="Calibri"/>
        <w:color w:val="000000"/>
        <w:sz w:val="24"/>
        <w:szCs w:val="24"/>
      </w:rPr>
      <w:t>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25C"/>
    <w:rsid w:val="00062B31"/>
    <w:rsid w:val="00155013"/>
    <w:rsid w:val="001A2CBC"/>
    <w:rsid w:val="00204C85"/>
    <w:rsid w:val="00213FB2"/>
    <w:rsid w:val="00263852"/>
    <w:rsid w:val="00545037"/>
    <w:rsid w:val="00604C0C"/>
    <w:rsid w:val="007F3962"/>
    <w:rsid w:val="00916AFE"/>
    <w:rsid w:val="00A6569B"/>
    <w:rsid w:val="00AD1D13"/>
    <w:rsid w:val="00AE1663"/>
    <w:rsid w:val="00B00E21"/>
    <w:rsid w:val="00B07001"/>
    <w:rsid w:val="00B50AB9"/>
    <w:rsid w:val="00C15B15"/>
    <w:rsid w:val="00CF425C"/>
    <w:rsid w:val="00D555A7"/>
    <w:rsid w:val="00E06BBF"/>
    <w:rsid w:val="00E127B0"/>
    <w:rsid w:val="00EB40AF"/>
    <w:rsid w:val="00FC3AE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4D7FC"/>
  <w15:docId w15:val="{1C342AD7-F108-BE4F-B1D4-57404E01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de"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outlineLvl w:val="0"/>
    </w:pPr>
    <w:rPr>
      <w:b/>
      <w:sz w:val="12"/>
      <w:szCs w:val="12"/>
    </w:rPr>
  </w:style>
  <w:style w:type="paragraph" w:styleId="Ttulo2">
    <w:name w:val="heading 2"/>
    <w:basedOn w:val="Normal"/>
    <w:next w:val="Normal"/>
    <w:uiPriority w:val="9"/>
    <w:unhideWhenUsed/>
    <w:qFormat/>
    <w:pPr>
      <w:keepNext/>
      <w:ind w:left="31" w:right="-78"/>
      <w:outlineLvl w:val="1"/>
    </w:pPr>
    <w:rPr>
      <w:b/>
      <w:sz w:val="12"/>
      <w:szCs w:val="12"/>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link w:val="EncabezadoCar"/>
    <w:uiPriority w:val="99"/>
    <w:pPr>
      <w:tabs>
        <w:tab w:val="center" w:pos="4536"/>
        <w:tab w:val="right" w:pos="9072"/>
      </w:tabs>
    </w:pPr>
  </w:style>
  <w:style w:type="paragraph" w:styleId="Piedepgina">
    <w:name w:val="footer"/>
    <w:link w:val="PiedepginaCar"/>
    <w:uiPriority w:val="99"/>
    <w:pPr>
      <w:tabs>
        <w:tab w:val="center" w:pos="4536"/>
        <w:tab w:val="right" w:pos="9072"/>
      </w:tabs>
    </w:pPr>
  </w:style>
  <w:style w:type="character" w:styleId="Hipervnculo">
    <w:name w:val="Hyperlink"/>
    <w:uiPriority w:val="99"/>
    <w:semiHidden/>
    <w:rPr>
      <w:color w:val="0000FF"/>
      <w:u w:val="single"/>
    </w:rPr>
  </w:style>
  <w:style w:type="paragraph" w:styleId="Textodeglobo">
    <w:name w:val="Balloon Text"/>
    <w:link w:val="TextodegloboCar"/>
    <w:uiPriority w:val="99"/>
    <w:semiHidden/>
    <w:unhideWhenUsed/>
    <w:rsid w:val="000C39AB"/>
    <w:rPr>
      <w:rFonts w:ascii="Segoe UI" w:hAnsi="Segoe UI" w:cs="Segoe UI"/>
      <w:sz w:val="18"/>
      <w:szCs w:val="18"/>
    </w:rPr>
  </w:style>
  <w:style w:type="character" w:customStyle="1" w:styleId="TextodegloboCar">
    <w:name w:val="Texto de globo Car"/>
    <w:link w:val="Textodeglobo"/>
    <w:uiPriority w:val="99"/>
    <w:semiHidden/>
    <w:rsid w:val="000C39AB"/>
    <w:rPr>
      <w:rFonts w:ascii="Segoe UI" w:hAnsi="Segoe UI" w:cs="Segoe UI"/>
      <w:sz w:val="18"/>
      <w:szCs w:val="18"/>
    </w:rPr>
  </w:style>
  <w:style w:type="table" w:styleId="Tablaconcuadrcula">
    <w:name w:val="Table Grid"/>
    <w:basedOn w:val="Tablanormal"/>
    <w:uiPriority w:val="39"/>
    <w:rsid w:val="00A82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653C85"/>
    <w:rPr>
      <w:color w:val="954F72" w:themeColor="followedHyperlink"/>
      <w:u w:val="single"/>
    </w:rPr>
  </w:style>
  <w:style w:type="character" w:styleId="Refdecomentario">
    <w:name w:val="annotation reference"/>
    <w:basedOn w:val="Fuentedeprrafopredeter"/>
    <w:uiPriority w:val="99"/>
    <w:semiHidden/>
    <w:unhideWhenUsed/>
    <w:rsid w:val="004C2D4B"/>
    <w:rPr>
      <w:sz w:val="16"/>
      <w:szCs w:val="16"/>
    </w:rPr>
  </w:style>
  <w:style w:type="paragraph" w:styleId="Textocomentario">
    <w:name w:val="annotation text"/>
    <w:link w:val="TextocomentarioCar"/>
    <w:uiPriority w:val="99"/>
    <w:unhideWhenUsed/>
    <w:rsid w:val="004C2D4B"/>
  </w:style>
  <w:style w:type="character" w:customStyle="1" w:styleId="TextocomentarioCar">
    <w:name w:val="Texto comentario Car"/>
    <w:basedOn w:val="Fuentedeprrafopredeter"/>
    <w:link w:val="Textocomentario"/>
    <w:uiPriority w:val="99"/>
    <w:rsid w:val="004C2D4B"/>
    <w:rPr>
      <w:rFonts w:ascii="Arial" w:hAnsi="Arial"/>
    </w:rPr>
  </w:style>
  <w:style w:type="paragraph" w:styleId="Asuntodelcomentario">
    <w:name w:val="annotation subject"/>
    <w:basedOn w:val="Textocomentario"/>
    <w:next w:val="Textocomentario"/>
    <w:link w:val="AsuntodelcomentarioCar"/>
    <w:uiPriority w:val="99"/>
    <w:semiHidden/>
    <w:unhideWhenUsed/>
    <w:rsid w:val="004C2D4B"/>
    <w:rPr>
      <w:b/>
      <w:bCs/>
    </w:rPr>
  </w:style>
  <w:style w:type="character" w:customStyle="1" w:styleId="AsuntodelcomentarioCar">
    <w:name w:val="Asunto del comentario Car"/>
    <w:basedOn w:val="TextocomentarioCar"/>
    <w:link w:val="Asuntodelcomentario"/>
    <w:uiPriority w:val="99"/>
    <w:semiHidden/>
    <w:rsid w:val="004C2D4B"/>
    <w:rPr>
      <w:rFonts w:ascii="Arial" w:hAnsi="Arial"/>
      <w:b/>
      <w:bCs/>
    </w:rPr>
  </w:style>
  <w:style w:type="character" w:styleId="Mencinsinresolver">
    <w:name w:val="Unresolved Mention"/>
    <w:basedOn w:val="Fuentedeprrafopredeter"/>
    <w:uiPriority w:val="99"/>
    <w:semiHidden/>
    <w:unhideWhenUsed/>
    <w:rsid w:val="00B60FF1"/>
    <w:rPr>
      <w:color w:val="605E5C"/>
      <w:shd w:val="clear" w:color="auto" w:fill="E1DFDD"/>
    </w:rPr>
  </w:style>
  <w:style w:type="paragraph" w:styleId="Descripcin">
    <w:name w:val="caption"/>
    <w:uiPriority w:val="35"/>
    <w:unhideWhenUsed/>
    <w:qFormat/>
    <w:rsid w:val="00B60FF1"/>
    <w:pPr>
      <w:spacing w:after="200"/>
    </w:pPr>
    <w:rPr>
      <w:i/>
      <w:iCs/>
      <w:color w:val="44546A" w:themeColor="text2"/>
      <w:sz w:val="18"/>
      <w:szCs w:val="18"/>
    </w:rPr>
  </w:style>
  <w:style w:type="paragraph" w:styleId="Revisin">
    <w:name w:val="Revision"/>
    <w:hidden/>
    <w:uiPriority w:val="99"/>
    <w:semiHidden/>
    <w:rsid w:val="009E530B"/>
  </w:style>
  <w:style w:type="character" w:styleId="Mencionar">
    <w:name w:val="Mention"/>
    <w:basedOn w:val="Fuentedeprrafopredeter"/>
    <w:uiPriority w:val="99"/>
    <w:unhideWhenUsed/>
    <w:rsid w:val="00801FFA"/>
    <w:rPr>
      <w:color w:val="2B579A"/>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Textoennegrita">
    <w:name w:val="Strong"/>
    <w:basedOn w:val="Fuentedeprrafopredeter"/>
    <w:uiPriority w:val="22"/>
    <w:qFormat/>
    <w:rsid w:val="00E127B0"/>
    <w:rPr>
      <w:b/>
      <w:bCs/>
    </w:rPr>
  </w:style>
  <w:style w:type="character" w:customStyle="1" w:styleId="EncabezadoCar">
    <w:name w:val="Encabezado Car"/>
    <w:basedOn w:val="Fuentedeprrafopredeter"/>
    <w:link w:val="Encabezado"/>
    <w:uiPriority w:val="99"/>
    <w:rsid w:val="00A6569B"/>
  </w:style>
  <w:style w:type="character" w:customStyle="1" w:styleId="PiedepginaCar">
    <w:name w:val="Pie de página Car"/>
    <w:basedOn w:val="Fuentedeprrafopredeter"/>
    <w:link w:val="Piedepgina"/>
    <w:uiPriority w:val="99"/>
    <w:rsid w:val="00204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laas.com/es-a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aPnaFFYSFbF5p7IgBcBLWS2+/Q==">CgMxLjAyDmguNm9ibHU1ZXR3Z2pvMg1oLm15N2p6OWM3bHliMg5oLmF1NWlpYmQxbHd6aDIOaC50ZHV6ODloYmdjZTk4AHIhMWNnODBQQW9ZLVp3UjItNUZfdjdVVnVVUGFTcVpSRWg4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697</Words>
  <Characters>3838</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Peitzm2</dc:creator>
  <cp:lastModifiedBy>User</cp:lastModifiedBy>
  <cp:revision>11</cp:revision>
  <dcterms:created xsi:type="dcterms:W3CDTF">2025-09-29T08:38:00Z</dcterms:created>
  <dcterms:modified xsi:type="dcterms:W3CDTF">2025-10-28T18:30:00Z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0x010100134CC46E6F5B274D9D9BC97C0317A3C9</vt:lpwstr>
  </property>
  <property fmtid="{D5CDD505-2E9C-101B-9397-08002B2CF9AE}" pid="3" name="MediaServiceImageTags">
    <vt:lpwstr/>
  </property>
</Properties>
</file>