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A97D" w14:textId="755BBCF0" w:rsidR="000F5584" w:rsidRPr="008B75E3" w:rsidRDefault="004355B7" w:rsidP="008B75E3">
      <w:pPr>
        <w:pStyle w:val="Ttulo2"/>
        <w:rPr>
          <w:rFonts w:ascii="Noto Sans" w:hAnsi="Noto Sans" w:cs="Noto Sans"/>
          <w:b/>
          <w:bCs/>
          <w:color w:val="auto"/>
          <w:sz w:val="28"/>
          <w:szCs w:val="28"/>
          <w:lang w:val="es-AR"/>
        </w:rPr>
      </w:pPr>
      <w:r w:rsidRPr="008B75E3">
        <w:rPr>
          <w:rFonts w:ascii="Noto Sans" w:hAnsi="Noto Sans" w:cs="Noto Sans"/>
          <w:b/>
          <w:bCs/>
          <w:color w:val="auto"/>
          <w:sz w:val="28"/>
          <w:szCs w:val="28"/>
          <w:lang w:val="es-AR"/>
        </w:rPr>
        <w:t>T</w:t>
      </w:r>
      <w:r w:rsidR="00282000" w:rsidRPr="008B75E3">
        <w:rPr>
          <w:rFonts w:ascii="Noto Sans" w:hAnsi="Noto Sans" w:cs="Noto Sans"/>
          <w:b/>
          <w:bCs/>
          <w:color w:val="auto"/>
          <w:sz w:val="28"/>
          <w:szCs w:val="28"/>
          <w:lang w:val="es-AR"/>
        </w:rPr>
        <w:t xml:space="preserve">res </w:t>
      </w:r>
      <w:r w:rsidR="00371C62" w:rsidRPr="008B75E3">
        <w:rPr>
          <w:rFonts w:ascii="Noto Sans" w:hAnsi="Noto Sans" w:cs="Noto Sans"/>
          <w:b/>
          <w:bCs/>
          <w:color w:val="auto"/>
          <w:sz w:val="28"/>
          <w:szCs w:val="28"/>
          <w:lang w:val="es-AR"/>
        </w:rPr>
        <w:t xml:space="preserve">especialistas advierten sobre nuevas </w:t>
      </w:r>
      <w:r w:rsidRPr="008B75E3">
        <w:rPr>
          <w:rFonts w:ascii="Noto Sans" w:hAnsi="Noto Sans" w:cs="Noto Sans"/>
          <w:b/>
          <w:bCs/>
          <w:color w:val="auto"/>
          <w:sz w:val="28"/>
          <w:szCs w:val="28"/>
          <w:lang w:val="es-AR"/>
        </w:rPr>
        <w:t xml:space="preserve">malezas </w:t>
      </w:r>
      <w:r w:rsidR="00371C62" w:rsidRPr="008B75E3">
        <w:rPr>
          <w:rFonts w:ascii="Noto Sans" w:hAnsi="Noto Sans" w:cs="Noto Sans"/>
          <w:b/>
          <w:bCs/>
          <w:color w:val="auto"/>
          <w:sz w:val="28"/>
          <w:szCs w:val="28"/>
          <w:lang w:val="es-AR"/>
        </w:rPr>
        <w:t>resisten</w:t>
      </w:r>
      <w:r w:rsidRPr="008B75E3">
        <w:rPr>
          <w:rFonts w:ascii="Noto Sans" w:hAnsi="Noto Sans" w:cs="Noto Sans"/>
          <w:b/>
          <w:bCs/>
          <w:color w:val="auto"/>
          <w:sz w:val="28"/>
          <w:szCs w:val="28"/>
          <w:lang w:val="es-AR"/>
        </w:rPr>
        <w:t>tes</w:t>
      </w:r>
      <w:r w:rsidR="00371C62" w:rsidRPr="008B75E3">
        <w:rPr>
          <w:rFonts w:ascii="Noto Sans" w:hAnsi="Noto Sans" w:cs="Noto Sans"/>
          <w:b/>
          <w:bCs/>
          <w:color w:val="auto"/>
          <w:sz w:val="28"/>
          <w:szCs w:val="28"/>
          <w:lang w:val="es-AR"/>
        </w:rPr>
        <w:t xml:space="preserve"> y proponen estrategias integrales para el control</w:t>
      </w:r>
    </w:p>
    <w:p w14:paraId="291AF94B" w14:textId="1443252E" w:rsidR="00371C62" w:rsidRPr="00790E09" w:rsidRDefault="004355B7" w:rsidP="00371C62">
      <w:pPr>
        <w:rPr>
          <w:rFonts w:ascii="Noto Sans" w:hAnsi="Noto Sans" w:cs="Noto Sans"/>
          <w:b/>
          <w:bCs/>
          <w:sz w:val="21"/>
          <w:szCs w:val="21"/>
          <w:lang w:val="es-AR"/>
        </w:rPr>
      </w:pPr>
      <w:r w:rsidRPr="004355B7">
        <w:rPr>
          <w:rFonts w:ascii="Noto Sans" w:hAnsi="Noto Sans" w:cs="Noto Sans"/>
          <w:i/>
          <w:iCs/>
          <w:sz w:val="20"/>
          <w:szCs w:val="20"/>
          <w:lang w:val="es-AR"/>
        </w:rPr>
        <w:t xml:space="preserve">UPL </w:t>
      </w:r>
      <w:proofErr w:type="spellStart"/>
      <w:r w:rsidRPr="004355B7">
        <w:rPr>
          <w:rFonts w:ascii="Noto Sans" w:hAnsi="Noto Sans" w:cs="Noto Sans"/>
          <w:i/>
          <w:iCs/>
          <w:sz w:val="20"/>
          <w:szCs w:val="20"/>
          <w:lang w:val="es-AR"/>
        </w:rPr>
        <w:t>Corp</w:t>
      </w:r>
      <w:proofErr w:type="spellEnd"/>
      <w:r w:rsidRPr="004355B7">
        <w:rPr>
          <w:rFonts w:ascii="Noto Sans" w:hAnsi="Noto Sans" w:cs="Noto Sans"/>
          <w:i/>
          <w:iCs/>
          <w:sz w:val="20"/>
          <w:szCs w:val="20"/>
          <w:lang w:val="es-AR"/>
        </w:rPr>
        <w:t xml:space="preserve"> Argentina acaba de lanzar </w:t>
      </w:r>
      <w:r w:rsidR="00790E09" w:rsidRPr="00790E09">
        <w:rPr>
          <w:rFonts w:ascii="Noto Sans" w:hAnsi="Noto Sans" w:cs="Noto Sans"/>
          <w:i/>
          <w:iCs/>
          <w:sz w:val="20"/>
          <w:szCs w:val="20"/>
          <w:lang w:val="es-AR"/>
        </w:rPr>
        <w:t>SHUTDOWN® ULTRA y LIFELINE® SYNC</w:t>
      </w:r>
      <w:r w:rsidR="00790E09">
        <w:rPr>
          <w:rFonts w:ascii="Noto Sans" w:hAnsi="Noto Sans" w:cs="Noto Sans"/>
          <w:b/>
          <w:bCs/>
          <w:sz w:val="21"/>
          <w:szCs w:val="21"/>
          <w:lang w:val="es-AR"/>
        </w:rPr>
        <w:t xml:space="preserve">, </w:t>
      </w:r>
      <w:r w:rsidRPr="004355B7">
        <w:rPr>
          <w:rFonts w:ascii="Noto Sans" w:hAnsi="Noto Sans" w:cs="Noto Sans"/>
          <w:i/>
          <w:iCs/>
          <w:sz w:val="20"/>
          <w:szCs w:val="20"/>
          <w:lang w:val="es-AR"/>
        </w:rPr>
        <w:t xml:space="preserve">dos nuevos herbicidas mezcla listos para usar. ¿Qué aportan? ¿Por qué son importantes? </w:t>
      </w:r>
      <w:r w:rsidR="000F5584" w:rsidRPr="004355B7">
        <w:rPr>
          <w:rFonts w:ascii="Noto Sans" w:hAnsi="Noto Sans" w:cs="Noto Sans"/>
          <w:i/>
          <w:iCs/>
          <w:sz w:val="20"/>
          <w:szCs w:val="20"/>
          <w:lang w:val="es-AR"/>
        </w:rPr>
        <w:t xml:space="preserve">Julio Gallo, Mauricio Durani y Ramón </w:t>
      </w:r>
      <w:proofErr w:type="spellStart"/>
      <w:r w:rsidR="000F5584" w:rsidRPr="004355B7">
        <w:rPr>
          <w:rFonts w:ascii="Noto Sans" w:hAnsi="Noto Sans" w:cs="Noto Sans"/>
          <w:i/>
          <w:iCs/>
          <w:sz w:val="20"/>
          <w:szCs w:val="20"/>
          <w:lang w:val="es-AR"/>
        </w:rPr>
        <w:t>Gigón</w:t>
      </w:r>
      <w:proofErr w:type="spellEnd"/>
      <w:r w:rsidR="000F5584" w:rsidRPr="004355B7">
        <w:rPr>
          <w:rFonts w:ascii="Noto Sans" w:hAnsi="Noto Sans" w:cs="Noto Sans"/>
          <w:i/>
          <w:iCs/>
          <w:sz w:val="20"/>
          <w:szCs w:val="20"/>
          <w:lang w:val="es-AR"/>
        </w:rPr>
        <w:t xml:space="preserve">, </w:t>
      </w:r>
      <w:r w:rsidRPr="004355B7">
        <w:rPr>
          <w:rFonts w:ascii="Noto Sans" w:hAnsi="Noto Sans" w:cs="Noto Sans"/>
          <w:i/>
          <w:iCs/>
          <w:sz w:val="20"/>
          <w:szCs w:val="20"/>
          <w:lang w:val="es-AR"/>
        </w:rPr>
        <w:t>analizan</w:t>
      </w:r>
      <w:r w:rsidR="00371C62" w:rsidRPr="004355B7">
        <w:rPr>
          <w:rFonts w:ascii="Noto Sans" w:hAnsi="Noto Sans" w:cs="Noto Sans"/>
          <w:i/>
          <w:iCs/>
          <w:sz w:val="20"/>
          <w:szCs w:val="20"/>
          <w:lang w:val="es-AR"/>
        </w:rPr>
        <w:t xml:space="preserve"> la expansión de </w:t>
      </w:r>
      <w:r w:rsidRPr="004355B7">
        <w:rPr>
          <w:rFonts w:ascii="Noto Sans" w:hAnsi="Noto Sans" w:cs="Noto Sans"/>
          <w:i/>
          <w:iCs/>
          <w:sz w:val="20"/>
          <w:szCs w:val="20"/>
          <w:lang w:val="es-AR"/>
        </w:rPr>
        <w:t xml:space="preserve">las </w:t>
      </w:r>
      <w:r w:rsidR="00371C62" w:rsidRPr="004355B7">
        <w:rPr>
          <w:rFonts w:ascii="Noto Sans" w:hAnsi="Noto Sans" w:cs="Noto Sans"/>
          <w:i/>
          <w:iCs/>
          <w:sz w:val="20"/>
          <w:szCs w:val="20"/>
          <w:lang w:val="es-AR"/>
        </w:rPr>
        <w:t xml:space="preserve">gramíneas </w:t>
      </w:r>
      <w:r w:rsidRPr="004355B7">
        <w:rPr>
          <w:rFonts w:ascii="Noto Sans" w:hAnsi="Noto Sans" w:cs="Noto Sans"/>
          <w:i/>
          <w:iCs/>
          <w:sz w:val="20"/>
          <w:szCs w:val="20"/>
          <w:lang w:val="es-AR"/>
        </w:rPr>
        <w:t xml:space="preserve">y </w:t>
      </w:r>
      <w:r w:rsidR="000F5584" w:rsidRPr="004355B7">
        <w:rPr>
          <w:rFonts w:ascii="Noto Sans" w:hAnsi="Noto Sans" w:cs="Noto Sans"/>
          <w:i/>
          <w:iCs/>
          <w:sz w:val="20"/>
          <w:szCs w:val="20"/>
          <w:lang w:val="es-AR"/>
        </w:rPr>
        <w:t xml:space="preserve"> la conveniencia de usar mezclas </w:t>
      </w:r>
      <w:proofErr w:type="spellStart"/>
      <w:r w:rsidR="000F5584" w:rsidRPr="004355B7">
        <w:rPr>
          <w:rFonts w:ascii="Noto Sans" w:hAnsi="Noto Sans" w:cs="Noto Sans"/>
          <w:i/>
          <w:iCs/>
          <w:sz w:val="20"/>
          <w:szCs w:val="20"/>
          <w:lang w:val="es-AR"/>
        </w:rPr>
        <w:t>preemergentes</w:t>
      </w:r>
      <w:proofErr w:type="spellEnd"/>
      <w:r w:rsidR="00371C62" w:rsidRPr="004355B7">
        <w:rPr>
          <w:rFonts w:ascii="Noto Sans" w:hAnsi="Noto Sans" w:cs="Noto Sans"/>
          <w:i/>
          <w:iCs/>
          <w:sz w:val="20"/>
          <w:szCs w:val="20"/>
          <w:lang w:val="es-AR"/>
        </w:rPr>
        <w:t xml:space="preserve">. </w:t>
      </w:r>
      <w:r w:rsidR="000F5584" w:rsidRPr="004355B7">
        <w:rPr>
          <w:rFonts w:ascii="Noto Sans" w:hAnsi="Noto Sans" w:cs="Noto Sans"/>
          <w:i/>
          <w:iCs/>
          <w:sz w:val="20"/>
          <w:szCs w:val="20"/>
          <w:lang w:val="es-AR"/>
        </w:rPr>
        <w:br/>
      </w:r>
      <w:r>
        <w:rPr>
          <w:rFonts w:ascii="Noto Sans" w:hAnsi="Noto Sans" w:cs="Noto Sans"/>
          <w:b/>
          <w:bCs/>
          <w:sz w:val="20"/>
          <w:szCs w:val="20"/>
          <w:lang w:val="es-AR"/>
        </w:rPr>
        <w:br/>
      </w:r>
      <w:r w:rsidR="00371C62" w:rsidRPr="004355B7">
        <w:rPr>
          <w:rFonts w:ascii="Noto Sans" w:hAnsi="Noto Sans" w:cs="Noto Sans"/>
          <w:sz w:val="20"/>
          <w:szCs w:val="20"/>
          <w:lang w:val="es-AR"/>
        </w:rPr>
        <w:t>Con la llegada de un ciclo agrícola con perfiles hídricos más cargados que en años anteriores, especialistas de distintas regiones del país coinciden en que las malezas siguen ganando terreno y complejidad en Argentina y podrían tener una presencia más temprana en esta campaña. El Amaranthus continúa liderando el ranking de problemáticas, acompañado por gramíneas como Eleusine y Echinochloa, y especies emergentes como Commelina o Parietaria. La recomendación común: no perder de vista el monitoreo, reforzar estrategias preventivas con preemergentes y hacer un manejo integrado.</w:t>
      </w:r>
    </w:p>
    <w:p w14:paraId="7D459946" w14:textId="5990C5A5" w:rsidR="00371C62" w:rsidRPr="004355B7" w:rsidRDefault="00371C62" w:rsidP="00371C62">
      <w:pPr>
        <w:rPr>
          <w:rFonts w:ascii="Noto Sans" w:hAnsi="Noto Sans" w:cs="Noto Sans"/>
          <w:sz w:val="20"/>
          <w:szCs w:val="20"/>
          <w:lang w:val="es-AR"/>
        </w:rPr>
      </w:pPr>
      <w:r w:rsidRPr="004355B7">
        <w:rPr>
          <w:rFonts w:ascii="Noto Sans" w:hAnsi="Noto Sans" w:cs="Noto Sans"/>
          <w:sz w:val="20"/>
          <w:szCs w:val="20"/>
          <w:lang w:val="es-AR"/>
        </w:rPr>
        <w:t>En el centro del país, Julio Gallo, especialista en investigación y desarrollo radicado en Villa María (Córdoba), observa un escenario desafiante: “Además del Amaranthus, tenemos un complejo de gramíneas muy frecuente. Entre ellas, Eleusine es la más complicada, porque nace en un momento en el que los residuales ya no son efectivos porque se gastaron con nacimientos anteriores”</w:t>
      </w:r>
      <w:r w:rsidR="00CC4C34" w:rsidRPr="004355B7">
        <w:rPr>
          <w:rFonts w:ascii="Noto Sans" w:hAnsi="Noto Sans" w:cs="Noto Sans"/>
          <w:sz w:val="20"/>
          <w:szCs w:val="20"/>
          <w:lang w:val="es-AR"/>
        </w:rPr>
        <w:t>,</w:t>
      </w:r>
      <w:r w:rsidRPr="004355B7">
        <w:rPr>
          <w:rFonts w:ascii="Noto Sans" w:hAnsi="Noto Sans" w:cs="Noto Sans"/>
          <w:sz w:val="20"/>
          <w:szCs w:val="20"/>
          <w:lang w:val="es-AR"/>
        </w:rPr>
        <w:t xml:space="preserve"> comentó.</w:t>
      </w:r>
    </w:p>
    <w:p w14:paraId="51EA18A3" w14:textId="567E1391" w:rsidR="00371C62" w:rsidRPr="004355B7" w:rsidRDefault="00371C62" w:rsidP="00371C62">
      <w:pPr>
        <w:rPr>
          <w:rFonts w:ascii="Noto Sans" w:hAnsi="Noto Sans" w:cs="Noto Sans"/>
          <w:sz w:val="20"/>
          <w:szCs w:val="20"/>
          <w:lang w:val="es-AR"/>
        </w:rPr>
      </w:pPr>
      <w:r w:rsidRPr="004355B7">
        <w:rPr>
          <w:rFonts w:ascii="Noto Sans" w:hAnsi="Noto Sans" w:cs="Noto Sans"/>
          <w:sz w:val="20"/>
          <w:szCs w:val="20"/>
          <w:lang w:val="es-AR"/>
        </w:rPr>
        <w:t xml:space="preserve">En el sur de Santa Fe, Mauricio Durani (Agro </w:t>
      </w:r>
      <w:proofErr w:type="spellStart"/>
      <w:r w:rsidRPr="004355B7">
        <w:rPr>
          <w:rFonts w:ascii="Noto Sans" w:hAnsi="Noto Sans" w:cs="Noto Sans"/>
          <w:sz w:val="20"/>
          <w:szCs w:val="20"/>
          <w:lang w:val="es-AR"/>
        </w:rPr>
        <w:t>Advise</w:t>
      </w:r>
      <w:proofErr w:type="spellEnd"/>
      <w:r w:rsidRPr="004355B7">
        <w:rPr>
          <w:rFonts w:ascii="Noto Sans" w:hAnsi="Noto Sans" w:cs="Noto Sans"/>
          <w:sz w:val="20"/>
          <w:szCs w:val="20"/>
          <w:lang w:val="es-AR"/>
        </w:rPr>
        <w:t xml:space="preserve">) advierte sobre un patrón similar: “Nuestra maleza driver sigue siendo Amaranthus hybridus y las gramíneas de verano como Echinochloa, Eleusine y Digitaria. Y nos preocupa mucho la Commelina, una maleza que la vemos como una amenaza por su gran capacidad de dispersión y porque todos los años </w:t>
      </w:r>
      <w:r w:rsidR="00CC4C34" w:rsidRPr="004355B7">
        <w:rPr>
          <w:rFonts w:ascii="Noto Sans" w:hAnsi="Noto Sans" w:cs="Noto Sans"/>
          <w:sz w:val="20"/>
          <w:szCs w:val="20"/>
          <w:lang w:val="es-AR"/>
        </w:rPr>
        <w:t>está</w:t>
      </w:r>
      <w:r w:rsidRPr="004355B7">
        <w:rPr>
          <w:rFonts w:ascii="Noto Sans" w:hAnsi="Noto Sans" w:cs="Noto Sans"/>
          <w:sz w:val="20"/>
          <w:szCs w:val="20"/>
          <w:lang w:val="es-AR"/>
        </w:rPr>
        <w:t xml:space="preserve"> un poquitito más dentro de los lotes, es una maleza para hacerle foco"</w:t>
      </w:r>
      <w:r w:rsidR="00CC4C34" w:rsidRPr="004355B7">
        <w:rPr>
          <w:rFonts w:ascii="Noto Sans" w:hAnsi="Noto Sans" w:cs="Noto Sans"/>
          <w:sz w:val="20"/>
          <w:szCs w:val="20"/>
          <w:lang w:val="es-AR"/>
        </w:rPr>
        <w:t>,</w:t>
      </w:r>
      <w:r w:rsidRPr="004355B7">
        <w:rPr>
          <w:rFonts w:ascii="Noto Sans" w:hAnsi="Noto Sans" w:cs="Noto Sans"/>
          <w:sz w:val="20"/>
          <w:szCs w:val="20"/>
          <w:lang w:val="es-AR"/>
        </w:rPr>
        <w:t xml:space="preserve"> destacó.</w:t>
      </w:r>
    </w:p>
    <w:p w14:paraId="0EB975F7" w14:textId="3DC195E4" w:rsidR="00371C62" w:rsidRPr="004355B7" w:rsidRDefault="00371C62" w:rsidP="00371C62">
      <w:pPr>
        <w:rPr>
          <w:rFonts w:ascii="Noto Sans" w:hAnsi="Noto Sans" w:cs="Noto Sans"/>
          <w:sz w:val="20"/>
          <w:szCs w:val="20"/>
          <w:lang w:val="es-AR"/>
        </w:rPr>
      </w:pPr>
      <w:r w:rsidRPr="004355B7">
        <w:rPr>
          <w:rFonts w:ascii="Noto Sans" w:hAnsi="Noto Sans" w:cs="Noto Sans"/>
          <w:sz w:val="20"/>
          <w:szCs w:val="20"/>
          <w:lang w:val="es-AR"/>
        </w:rPr>
        <w:t>Más al sur, en la provincia de Buenos Aires, el consultor y capacitador Ramón Gigón describe un panorama donde las malezas invernales dominan: “Raigrás es la número uno, y ya vemos resistencia a Cletodim y a graminicidas de postemergencia en trigo y cebada. También enfrentamos nabo con múltiples mecanismos de resistencia, rama negra, quenopodiáceas y un crecimiento preocupante de gramíneas de verano como capín y Echinochloa”, explicó.</w:t>
      </w:r>
    </w:p>
    <w:p w14:paraId="2493CC2F" w14:textId="77777777" w:rsidR="00371C62" w:rsidRPr="004355B7" w:rsidRDefault="00371C62" w:rsidP="00371C62">
      <w:pPr>
        <w:rPr>
          <w:rFonts w:ascii="Noto Sans" w:hAnsi="Noto Sans" w:cs="Noto Sans"/>
          <w:sz w:val="20"/>
          <w:szCs w:val="20"/>
          <w:lang w:val="es-AR"/>
        </w:rPr>
      </w:pPr>
      <w:r w:rsidRPr="004355B7">
        <w:rPr>
          <w:rFonts w:ascii="Noto Sans" w:hAnsi="Noto Sans" w:cs="Noto Sans"/>
          <w:sz w:val="20"/>
          <w:szCs w:val="20"/>
          <w:lang w:val="es-AR"/>
        </w:rPr>
        <w:t>Los especialistas coinciden en que las recientes precipitaciones podrían anticipar nacimientos y obligar a adelantar controles. “En comparación con años secos, las lluvias de los últimos días pueden generar malezas mucho antes de lo previsto. Habrá que monitorear de cerca y quizás intervenir lotes en momentos en los que antes no lo hacíamos”, advierte Gallo.</w:t>
      </w:r>
    </w:p>
    <w:p w14:paraId="6D6D73C0" w14:textId="77777777" w:rsidR="00371C62" w:rsidRPr="004355B7" w:rsidRDefault="00371C62" w:rsidP="00371C62">
      <w:pPr>
        <w:rPr>
          <w:rFonts w:ascii="Noto Sans" w:hAnsi="Noto Sans" w:cs="Noto Sans"/>
          <w:sz w:val="20"/>
          <w:szCs w:val="20"/>
          <w:lang w:val="es-AR"/>
        </w:rPr>
      </w:pPr>
      <w:r w:rsidRPr="004355B7">
        <w:rPr>
          <w:rFonts w:ascii="Noto Sans" w:hAnsi="Noto Sans" w:cs="Noto Sans"/>
          <w:sz w:val="20"/>
          <w:szCs w:val="20"/>
          <w:lang w:val="es-AR"/>
        </w:rPr>
        <w:lastRenderedPageBreak/>
        <w:t>Durani suma una recomendación clave: “Este año vamos a tener una activación más rápida del banco de semillas. Hay que pensar muy bien los residuales que vamos a usar, sin perder de vista malezas secundarias que luego nos obligan a rescates poco eficientes”.</w:t>
      </w:r>
    </w:p>
    <w:p w14:paraId="2DA9B57B" w14:textId="77777777" w:rsidR="00371C62" w:rsidRPr="004355B7" w:rsidRDefault="00371C62" w:rsidP="00371C62">
      <w:pPr>
        <w:rPr>
          <w:rFonts w:ascii="Noto Sans" w:hAnsi="Noto Sans" w:cs="Noto Sans"/>
          <w:b/>
          <w:bCs/>
          <w:sz w:val="20"/>
          <w:szCs w:val="20"/>
          <w:lang w:val="es-AR"/>
        </w:rPr>
      </w:pPr>
      <w:r w:rsidRPr="004355B7">
        <w:rPr>
          <w:rFonts w:ascii="Noto Sans" w:hAnsi="Noto Sans" w:cs="Noto Sans"/>
          <w:b/>
          <w:bCs/>
          <w:sz w:val="20"/>
          <w:szCs w:val="20"/>
          <w:lang w:val="es-AR"/>
        </w:rPr>
        <w:t>Manejo integrado y preemergentes como aliados</w:t>
      </w:r>
    </w:p>
    <w:p w14:paraId="18D52420" w14:textId="13A4635A" w:rsidR="00371C62" w:rsidRPr="004355B7" w:rsidRDefault="00371C62" w:rsidP="00371C62">
      <w:pPr>
        <w:rPr>
          <w:rFonts w:ascii="Noto Sans" w:hAnsi="Noto Sans" w:cs="Noto Sans"/>
          <w:sz w:val="20"/>
          <w:szCs w:val="20"/>
          <w:lang w:val="es-AR"/>
        </w:rPr>
      </w:pPr>
      <w:r w:rsidRPr="004355B7">
        <w:rPr>
          <w:rFonts w:ascii="Noto Sans" w:hAnsi="Noto Sans" w:cs="Noto Sans"/>
          <w:sz w:val="20"/>
          <w:szCs w:val="20"/>
          <w:lang w:val="es-AR"/>
        </w:rPr>
        <w:t>Para Gigón, una de las claves para esta campaña será diversificar activos: “No usar un solo principio activo como preemergente, sino mezclar para atacar por distintos modos de acción. En crucíferas, productos como Metribuzin, Diflufenican o triacinas en preemergencia están dando buenos resultados, aunque todavía falta una adopción más masiva. En rama negra, el control temprano y el uso de herramientas como Enlist son claves para evitar escapes”</w:t>
      </w:r>
      <w:r w:rsidR="00CC4C34" w:rsidRPr="004355B7">
        <w:rPr>
          <w:rFonts w:ascii="Noto Sans" w:hAnsi="Noto Sans" w:cs="Noto Sans"/>
          <w:sz w:val="20"/>
          <w:szCs w:val="20"/>
          <w:lang w:val="es-AR"/>
        </w:rPr>
        <w:t>,</w:t>
      </w:r>
      <w:r w:rsidRPr="004355B7">
        <w:rPr>
          <w:rFonts w:ascii="Noto Sans" w:hAnsi="Noto Sans" w:cs="Noto Sans"/>
          <w:sz w:val="20"/>
          <w:szCs w:val="20"/>
          <w:lang w:val="es-AR"/>
        </w:rPr>
        <w:t xml:space="preserve"> comentó. También señaló avances para girasol, cultivo con pocas alternativas para malezas difíciles: “La mezcla de diflufenican con piroxasulfone que tiene UPL puede ser una herramienta interesante para </w:t>
      </w:r>
      <w:proofErr w:type="spellStart"/>
      <w:r w:rsidRPr="004355B7">
        <w:rPr>
          <w:rFonts w:ascii="Noto Sans" w:hAnsi="Noto Sans" w:cs="Noto Sans"/>
          <w:sz w:val="20"/>
          <w:szCs w:val="20"/>
          <w:lang w:val="es-AR"/>
        </w:rPr>
        <w:t>amarant</w:t>
      </w:r>
      <w:r w:rsidR="00CC4C34" w:rsidRPr="004355B7">
        <w:rPr>
          <w:rFonts w:ascii="Noto Sans" w:hAnsi="Noto Sans" w:cs="Noto Sans"/>
          <w:sz w:val="20"/>
          <w:szCs w:val="20"/>
          <w:lang w:val="es-AR"/>
        </w:rPr>
        <w:t>hu</w:t>
      </w:r>
      <w:r w:rsidRPr="004355B7">
        <w:rPr>
          <w:rFonts w:ascii="Noto Sans" w:hAnsi="Noto Sans" w:cs="Noto Sans"/>
          <w:sz w:val="20"/>
          <w:szCs w:val="20"/>
          <w:lang w:val="es-AR"/>
        </w:rPr>
        <w:t>s</w:t>
      </w:r>
      <w:proofErr w:type="spellEnd"/>
      <w:r w:rsidRPr="004355B7">
        <w:rPr>
          <w:rFonts w:ascii="Noto Sans" w:hAnsi="Noto Sans" w:cs="Noto Sans"/>
          <w:sz w:val="20"/>
          <w:szCs w:val="20"/>
          <w:lang w:val="es-AR"/>
        </w:rPr>
        <w:t>, crucíferas y gramíneas de verano”.</w:t>
      </w:r>
    </w:p>
    <w:p w14:paraId="3F500856" w14:textId="3B7AD02B" w:rsidR="00371C62" w:rsidRPr="004355B7" w:rsidRDefault="00371C62" w:rsidP="00371C62">
      <w:pPr>
        <w:rPr>
          <w:rFonts w:ascii="Noto Sans" w:hAnsi="Noto Sans" w:cs="Noto Sans"/>
          <w:sz w:val="20"/>
          <w:szCs w:val="20"/>
          <w:lang w:val="es-AR"/>
        </w:rPr>
      </w:pPr>
      <w:r w:rsidRPr="004355B7">
        <w:rPr>
          <w:rFonts w:ascii="Noto Sans" w:hAnsi="Noto Sans" w:cs="Noto Sans"/>
          <w:sz w:val="20"/>
          <w:szCs w:val="20"/>
          <w:lang w:val="es-AR"/>
        </w:rPr>
        <w:t>Para Durani una de las claves es no perderle pisada: "Tenemos que estar muy arriba de los lotes y pensar muy bien l</w:t>
      </w:r>
      <w:r w:rsidR="00CC4C34" w:rsidRPr="004355B7">
        <w:rPr>
          <w:rFonts w:ascii="Noto Sans" w:hAnsi="Noto Sans" w:cs="Noto Sans"/>
          <w:sz w:val="20"/>
          <w:szCs w:val="20"/>
          <w:lang w:val="es-AR"/>
        </w:rPr>
        <w:t>o</w:t>
      </w:r>
      <w:r w:rsidRPr="004355B7">
        <w:rPr>
          <w:rFonts w:ascii="Noto Sans" w:hAnsi="Noto Sans" w:cs="Noto Sans"/>
          <w:sz w:val="20"/>
          <w:szCs w:val="20"/>
          <w:lang w:val="es-AR"/>
        </w:rPr>
        <w:t xml:space="preserve">s herbicidas residuales que vamos a usar para afrontar la problemática". También destacó que más allá de la maleza driver de su zona, no hay que perder foco "de otras malezas que hoy no le estamos prestando atención y después nos hacen tener ingresos al lote y hacer tratamientos de rescate con eficiencia en el control que no son del todo buenas". En este sentido, destacó un caso puntual: “La Parietaria es complicada de manejar, pero con Metribuzin se controla bien. Un producto como SHUTDOWN ULTRA, que combina </w:t>
      </w:r>
      <w:proofErr w:type="spellStart"/>
      <w:r w:rsidRPr="004355B7">
        <w:rPr>
          <w:rFonts w:ascii="Noto Sans" w:hAnsi="Noto Sans" w:cs="Noto Sans"/>
          <w:sz w:val="20"/>
          <w:szCs w:val="20"/>
          <w:lang w:val="es-AR"/>
        </w:rPr>
        <w:t>Metribuzin</w:t>
      </w:r>
      <w:proofErr w:type="spellEnd"/>
      <w:r w:rsidRPr="004355B7">
        <w:rPr>
          <w:rFonts w:ascii="Noto Sans" w:hAnsi="Noto Sans" w:cs="Noto Sans"/>
          <w:sz w:val="20"/>
          <w:szCs w:val="20"/>
          <w:lang w:val="es-AR"/>
        </w:rPr>
        <w:t xml:space="preserve">, </w:t>
      </w:r>
      <w:proofErr w:type="spellStart"/>
      <w:r w:rsidRPr="004355B7">
        <w:rPr>
          <w:rFonts w:ascii="Noto Sans" w:hAnsi="Noto Sans" w:cs="Noto Sans"/>
          <w:sz w:val="20"/>
          <w:szCs w:val="20"/>
          <w:lang w:val="es-AR"/>
        </w:rPr>
        <w:t>Sulfentrazone</w:t>
      </w:r>
      <w:proofErr w:type="spellEnd"/>
      <w:r w:rsidRPr="004355B7">
        <w:rPr>
          <w:rFonts w:ascii="Noto Sans" w:hAnsi="Noto Sans" w:cs="Noto Sans"/>
          <w:sz w:val="20"/>
          <w:szCs w:val="20"/>
          <w:lang w:val="es-AR"/>
        </w:rPr>
        <w:t xml:space="preserve"> y S-</w:t>
      </w:r>
      <w:proofErr w:type="spellStart"/>
      <w:r w:rsidRPr="004355B7">
        <w:rPr>
          <w:rFonts w:ascii="Noto Sans" w:hAnsi="Noto Sans" w:cs="Noto Sans"/>
          <w:sz w:val="20"/>
          <w:szCs w:val="20"/>
          <w:lang w:val="es-AR"/>
        </w:rPr>
        <w:t>Metolaclor</w:t>
      </w:r>
      <w:proofErr w:type="spellEnd"/>
      <w:r w:rsidRPr="004355B7">
        <w:rPr>
          <w:rFonts w:ascii="Noto Sans" w:hAnsi="Noto Sans" w:cs="Noto Sans"/>
          <w:sz w:val="20"/>
          <w:szCs w:val="20"/>
          <w:lang w:val="es-AR"/>
        </w:rPr>
        <w:t>, puede ser una opción que además genere residualidad para futuras camadas”.</w:t>
      </w:r>
    </w:p>
    <w:p w14:paraId="0630AB18" w14:textId="7C3BE16F" w:rsidR="00371C62" w:rsidRPr="004355B7" w:rsidRDefault="00371C62" w:rsidP="00371C62">
      <w:pPr>
        <w:rPr>
          <w:rFonts w:ascii="Noto Sans" w:hAnsi="Noto Sans" w:cs="Noto Sans"/>
          <w:sz w:val="20"/>
          <w:szCs w:val="20"/>
          <w:lang w:val="es-AR"/>
        </w:rPr>
      </w:pPr>
      <w:r w:rsidRPr="004355B7">
        <w:rPr>
          <w:rFonts w:ascii="Noto Sans" w:hAnsi="Noto Sans" w:cs="Noto Sans"/>
          <w:sz w:val="20"/>
          <w:szCs w:val="20"/>
          <w:lang w:val="es-AR"/>
        </w:rPr>
        <w:t xml:space="preserve">Pablo Angeletti, gerente de herbicidas y fungicidas de UPL Argentina, señaló que el foco este año de la empresa está puesto en brindar soluciones listas para usar: “Hoy el productor tiene menos herramientas para el control postemergente de gramíneas, por eso uno de los lanzamientos de este año es LIFELINE SYNC, que combina </w:t>
      </w:r>
      <w:proofErr w:type="spellStart"/>
      <w:r w:rsidRPr="004355B7">
        <w:rPr>
          <w:rFonts w:ascii="Noto Sans" w:hAnsi="Noto Sans" w:cs="Noto Sans"/>
          <w:sz w:val="20"/>
          <w:szCs w:val="20"/>
          <w:lang w:val="es-AR"/>
        </w:rPr>
        <w:t>glufosinato</w:t>
      </w:r>
      <w:proofErr w:type="spellEnd"/>
      <w:r w:rsidRPr="004355B7">
        <w:rPr>
          <w:rFonts w:ascii="Noto Sans" w:hAnsi="Noto Sans" w:cs="Noto Sans"/>
          <w:sz w:val="20"/>
          <w:szCs w:val="20"/>
          <w:lang w:val="es-AR"/>
        </w:rPr>
        <w:t xml:space="preserve"> y S-</w:t>
      </w:r>
      <w:proofErr w:type="spellStart"/>
      <w:r w:rsidRPr="004355B7">
        <w:rPr>
          <w:rFonts w:ascii="Noto Sans" w:hAnsi="Noto Sans" w:cs="Noto Sans"/>
          <w:sz w:val="20"/>
          <w:szCs w:val="20"/>
          <w:lang w:val="es-AR"/>
        </w:rPr>
        <w:t>Metolaclor</w:t>
      </w:r>
      <w:proofErr w:type="spellEnd"/>
      <w:r w:rsidRPr="004355B7">
        <w:rPr>
          <w:rFonts w:ascii="Noto Sans" w:hAnsi="Noto Sans" w:cs="Noto Sans"/>
          <w:sz w:val="20"/>
          <w:szCs w:val="20"/>
          <w:lang w:val="es-AR"/>
        </w:rPr>
        <w:t xml:space="preserve"> para un excelente poder quemante y residualidad, pensado para presiembra de maíz y con eficacia también sobre amarantos y coniza” comentó.</w:t>
      </w:r>
    </w:p>
    <w:p w14:paraId="3A167656" w14:textId="3674B32A" w:rsidR="00371C62" w:rsidRPr="004355B7" w:rsidRDefault="00371C62" w:rsidP="00371C62">
      <w:pPr>
        <w:rPr>
          <w:rFonts w:ascii="Noto Sans" w:hAnsi="Noto Sans" w:cs="Noto Sans"/>
          <w:sz w:val="20"/>
          <w:szCs w:val="20"/>
          <w:lang w:val="es-AR"/>
        </w:rPr>
      </w:pPr>
      <w:r w:rsidRPr="004355B7">
        <w:rPr>
          <w:rFonts w:ascii="Noto Sans" w:hAnsi="Noto Sans" w:cs="Noto Sans"/>
          <w:sz w:val="20"/>
          <w:szCs w:val="20"/>
          <w:lang w:val="es-AR"/>
        </w:rPr>
        <w:t xml:space="preserve">Otra novedad es SHUTDOWN ULTRA, una triple mezcla de </w:t>
      </w:r>
      <w:proofErr w:type="spellStart"/>
      <w:r w:rsidRPr="004355B7">
        <w:rPr>
          <w:rFonts w:ascii="Noto Sans" w:hAnsi="Noto Sans" w:cs="Noto Sans"/>
          <w:sz w:val="20"/>
          <w:szCs w:val="20"/>
          <w:lang w:val="es-AR"/>
        </w:rPr>
        <w:t>Sulfentrazone</w:t>
      </w:r>
      <w:proofErr w:type="spellEnd"/>
      <w:r w:rsidRPr="004355B7">
        <w:rPr>
          <w:rFonts w:ascii="Noto Sans" w:hAnsi="Noto Sans" w:cs="Noto Sans"/>
          <w:sz w:val="20"/>
          <w:szCs w:val="20"/>
          <w:lang w:val="es-AR"/>
        </w:rPr>
        <w:t xml:space="preserve">, </w:t>
      </w:r>
      <w:proofErr w:type="spellStart"/>
      <w:r w:rsidRPr="004355B7">
        <w:rPr>
          <w:rFonts w:ascii="Noto Sans" w:hAnsi="Noto Sans" w:cs="Noto Sans"/>
          <w:sz w:val="20"/>
          <w:szCs w:val="20"/>
          <w:lang w:val="es-AR"/>
        </w:rPr>
        <w:t>Metribuzin</w:t>
      </w:r>
      <w:proofErr w:type="spellEnd"/>
      <w:r w:rsidRPr="004355B7">
        <w:rPr>
          <w:rFonts w:ascii="Noto Sans" w:hAnsi="Noto Sans" w:cs="Noto Sans"/>
          <w:sz w:val="20"/>
          <w:szCs w:val="20"/>
          <w:lang w:val="es-AR"/>
        </w:rPr>
        <w:t xml:space="preserve"> y S-</w:t>
      </w:r>
      <w:proofErr w:type="spellStart"/>
      <w:r w:rsidRPr="004355B7">
        <w:rPr>
          <w:rFonts w:ascii="Noto Sans" w:hAnsi="Noto Sans" w:cs="Noto Sans"/>
          <w:sz w:val="20"/>
          <w:szCs w:val="20"/>
          <w:lang w:val="es-AR"/>
        </w:rPr>
        <w:t>Metolaclor</w:t>
      </w:r>
      <w:proofErr w:type="spellEnd"/>
      <w:r w:rsidRPr="004355B7">
        <w:rPr>
          <w:rFonts w:ascii="Noto Sans" w:hAnsi="Noto Sans" w:cs="Noto Sans"/>
          <w:sz w:val="20"/>
          <w:szCs w:val="20"/>
          <w:lang w:val="es-AR"/>
        </w:rPr>
        <w:t xml:space="preserve"> “para presiembra de soja, con un espectro más amplio y pensado para mitigar la resistencia, incluyendo problemáticas emergentes como Parietaria y crucíferas. Su formulación</w:t>
      </w:r>
      <w:r w:rsidR="00293D9A" w:rsidRPr="004355B7">
        <w:rPr>
          <w:rFonts w:ascii="Noto Sans" w:hAnsi="Noto Sans" w:cs="Noto Sans"/>
          <w:sz w:val="20"/>
          <w:szCs w:val="20"/>
          <w:lang w:val="es-AR"/>
        </w:rPr>
        <w:t xml:space="preserve"> de</w:t>
      </w:r>
      <w:r w:rsidRPr="004355B7">
        <w:rPr>
          <w:rFonts w:ascii="Noto Sans" w:hAnsi="Noto Sans" w:cs="Noto Sans"/>
          <w:sz w:val="20"/>
          <w:szCs w:val="20"/>
          <w:lang w:val="es-AR"/>
        </w:rPr>
        <w:t xml:space="preserve"> concentrad</w:t>
      </w:r>
      <w:r w:rsidR="00293D9A" w:rsidRPr="004355B7">
        <w:rPr>
          <w:rFonts w:ascii="Noto Sans" w:hAnsi="Noto Sans" w:cs="Noto Sans"/>
          <w:sz w:val="20"/>
          <w:szCs w:val="20"/>
          <w:lang w:val="es-AR"/>
        </w:rPr>
        <w:t>o</w:t>
      </w:r>
      <w:r w:rsidRPr="004355B7">
        <w:rPr>
          <w:rFonts w:ascii="Noto Sans" w:hAnsi="Noto Sans" w:cs="Noto Sans"/>
          <w:sz w:val="20"/>
          <w:szCs w:val="20"/>
          <w:lang w:val="es-AR"/>
        </w:rPr>
        <w:t xml:space="preserve"> emulsionable aporta además un efecto </w:t>
      </w:r>
      <w:proofErr w:type="spellStart"/>
      <w:r w:rsidRPr="004355B7">
        <w:rPr>
          <w:rFonts w:ascii="Noto Sans" w:hAnsi="Noto Sans" w:cs="Noto Sans"/>
          <w:sz w:val="20"/>
          <w:szCs w:val="20"/>
          <w:lang w:val="es-AR"/>
        </w:rPr>
        <w:t>posemergente</w:t>
      </w:r>
      <w:proofErr w:type="spellEnd"/>
      <w:r w:rsidRPr="004355B7">
        <w:rPr>
          <w:rFonts w:ascii="Noto Sans" w:hAnsi="Noto Sans" w:cs="Noto Sans"/>
          <w:sz w:val="20"/>
          <w:szCs w:val="20"/>
          <w:lang w:val="es-AR"/>
        </w:rPr>
        <w:t xml:space="preserve">”, explicó </w:t>
      </w:r>
      <w:proofErr w:type="spellStart"/>
      <w:r w:rsidRPr="004355B7">
        <w:rPr>
          <w:rFonts w:ascii="Noto Sans" w:hAnsi="Noto Sans" w:cs="Noto Sans"/>
          <w:sz w:val="20"/>
          <w:szCs w:val="20"/>
          <w:lang w:val="es-AR"/>
        </w:rPr>
        <w:t>Angeletti</w:t>
      </w:r>
      <w:proofErr w:type="spellEnd"/>
      <w:r w:rsidRPr="004355B7">
        <w:rPr>
          <w:rFonts w:ascii="Noto Sans" w:hAnsi="Noto Sans" w:cs="Noto Sans"/>
          <w:sz w:val="20"/>
          <w:szCs w:val="20"/>
          <w:lang w:val="es-AR"/>
        </w:rPr>
        <w:t>.</w:t>
      </w:r>
    </w:p>
    <w:p w14:paraId="49740771" w14:textId="6EF60510" w:rsidR="00671B03" w:rsidRDefault="00371C62" w:rsidP="00371C62">
      <w:pPr>
        <w:rPr>
          <w:rFonts w:ascii="Noto Sans" w:hAnsi="Noto Sans" w:cs="Noto Sans"/>
          <w:sz w:val="20"/>
          <w:szCs w:val="20"/>
          <w:lang w:val="es-AR"/>
        </w:rPr>
      </w:pPr>
      <w:r w:rsidRPr="004355B7">
        <w:rPr>
          <w:rFonts w:ascii="Noto Sans" w:hAnsi="Noto Sans" w:cs="Noto Sans"/>
          <w:sz w:val="20"/>
          <w:szCs w:val="20"/>
          <w:lang w:val="es-AR"/>
        </w:rPr>
        <w:t>Para Gigón, este tipo de desarrollos ayudan a resolver un problema habitual en Argentina: “Las mezclas caseras, muchas veces con agua de mala calidad, pueden cortar la eficacia y promover alguna resistencia metabólica al tener una subdosis de ese producto porque lo estamos antagonizando. Con estos lanzamientos de UPL que incluyen dos o tres productos ya coformulados el productor no va a tener ese riesgo de corte, de mezcla o de que empiece a bajar la eficacia de algún producto". Para el especialista</w:t>
      </w:r>
      <w:r w:rsidR="00293D9A" w:rsidRPr="004355B7">
        <w:rPr>
          <w:rFonts w:ascii="Noto Sans" w:hAnsi="Noto Sans" w:cs="Noto Sans"/>
          <w:sz w:val="20"/>
          <w:szCs w:val="20"/>
          <w:lang w:val="es-AR"/>
        </w:rPr>
        <w:t>,</w:t>
      </w:r>
      <w:r w:rsidRPr="004355B7">
        <w:rPr>
          <w:rFonts w:ascii="Noto Sans" w:hAnsi="Noto Sans" w:cs="Noto Sans"/>
          <w:sz w:val="20"/>
          <w:szCs w:val="20"/>
          <w:lang w:val="es-AR"/>
        </w:rPr>
        <w:t xml:space="preserve"> un </w:t>
      </w:r>
      <w:proofErr w:type="spellStart"/>
      <w:r w:rsidRPr="004355B7">
        <w:rPr>
          <w:rFonts w:ascii="Noto Sans" w:hAnsi="Noto Sans" w:cs="Noto Sans"/>
          <w:sz w:val="20"/>
          <w:szCs w:val="20"/>
          <w:lang w:val="es-AR"/>
        </w:rPr>
        <w:t>coformulado</w:t>
      </w:r>
      <w:proofErr w:type="spellEnd"/>
      <w:r w:rsidRPr="004355B7">
        <w:rPr>
          <w:rFonts w:ascii="Noto Sans" w:hAnsi="Noto Sans" w:cs="Noto Sans"/>
          <w:sz w:val="20"/>
          <w:szCs w:val="20"/>
          <w:lang w:val="es-AR"/>
        </w:rPr>
        <w:t xml:space="preserve"> </w:t>
      </w:r>
      <w:r w:rsidRPr="004355B7">
        <w:rPr>
          <w:rFonts w:ascii="Noto Sans" w:hAnsi="Noto Sans" w:cs="Noto Sans"/>
          <w:sz w:val="20"/>
          <w:szCs w:val="20"/>
          <w:lang w:val="es-AR"/>
        </w:rPr>
        <w:lastRenderedPageBreak/>
        <w:t>asegura compatibilidad, evita antagonismos y ataca las malezas por distintos modos de acción, retrasando la resistencia.</w:t>
      </w:r>
    </w:p>
    <w:p w14:paraId="10976C50" w14:textId="77777777" w:rsidR="00671B03" w:rsidRPr="00671B03" w:rsidRDefault="00671B03" w:rsidP="00671B03">
      <w:pPr>
        <w:rPr>
          <w:rFonts w:ascii="Noto Sans" w:hAnsi="Noto Sans" w:cs="Noto Sans"/>
          <w:b/>
          <w:bCs/>
          <w:i/>
          <w:iCs/>
          <w:sz w:val="20"/>
          <w:szCs w:val="20"/>
          <w:lang w:val="es-AR"/>
        </w:rPr>
      </w:pPr>
      <w:r w:rsidRPr="00671B03">
        <w:rPr>
          <w:rFonts w:ascii="Noto Sans" w:hAnsi="Noto Sans" w:cs="Noto Sans"/>
          <w:b/>
          <w:bCs/>
          <w:i/>
          <w:iCs/>
          <w:sz w:val="20"/>
          <w:szCs w:val="20"/>
          <w:lang w:val="es-AR"/>
        </w:rPr>
        <w:t xml:space="preserve">Acerca de UPL </w:t>
      </w:r>
      <w:proofErr w:type="spellStart"/>
      <w:r w:rsidRPr="00671B03">
        <w:rPr>
          <w:rFonts w:ascii="Noto Sans" w:hAnsi="Noto Sans" w:cs="Noto Sans"/>
          <w:b/>
          <w:bCs/>
          <w:i/>
          <w:iCs/>
          <w:sz w:val="20"/>
          <w:szCs w:val="20"/>
          <w:lang w:val="es-AR"/>
        </w:rPr>
        <w:t>Corp</w:t>
      </w:r>
      <w:proofErr w:type="spellEnd"/>
    </w:p>
    <w:p w14:paraId="1C22E965" w14:textId="77777777" w:rsidR="00671B03" w:rsidRPr="00671B03" w:rsidRDefault="00671B03" w:rsidP="00671B03">
      <w:pPr>
        <w:rPr>
          <w:rFonts w:ascii="Noto Sans" w:hAnsi="Noto Sans" w:cs="Noto Sans"/>
          <w:i/>
          <w:iCs/>
          <w:sz w:val="20"/>
          <w:szCs w:val="20"/>
          <w:lang w:val="es-AR"/>
        </w:rPr>
      </w:pPr>
      <w:r w:rsidRPr="00671B03">
        <w:rPr>
          <w:rFonts w:ascii="Noto Sans" w:hAnsi="Noto Sans" w:cs="Noto Sans"/>
          <w:i/>
          <w:iCs/>
          <w:sz w:val="20"/>
          <w:szCs w:val="20"/>
          <w:lang w:val="es-AR"/>
        </w:rPr>
        <w:t xml:space="preserve">UPL </w:t>
      </w:r>
      <w:proofErr w:type="spellStart"/>
      <w:r w:rsidRPr="00671B03">
        <w:rPr>
          <w:rFonts w:ascii="Noto Sans" w:hAnsi="Noto Sans" w:cs="Noto Sans"/>
          <w:i/>
          <w:iCs/>
          <w:sz w:val="20"/>
          <w:szCs w:val="20"/>
          <w:lang w:val="es-AR"/>
        </w:rPr>
        <w:t>Corporation</w:t>
      </w:r>
      <w:proofErr w:type="spellEnd"/>
      <w:r w:rsidRPr="00671B03">
        <w:rPr>
          <w:rFonts w:ascii="Noto Sans" w:hAnsi="Noto Sans" w:cs="Noto Sans"/>
          <w:i/>
          <w:iCs/>
          <w:sz w:val="20"/>
          <w:szCs w:val="20"/>
          <w:lang w:val="es-AR"/>
        </w:rPr>
        <w:t xml:space="preserve"> Ltd. (UPL </w:t>
      </w:r>
      <w:proofErr w:type="spellStart"/>
      <w:r w:rsidRPr="00671B03">
        <w:rPr>
          <w:rFonts w:ascii="Noto Sans" w:hAnsi="Noto Sans" w:cs="Noto Sans"/>
          <w:i/>
          <w:iCs/>
          <w:sz w:val="20"/>
          <w:szCs w:val="20"/>
          <w:lang w:val="es-AR"/>
        </w:rPr>
        <w:t>Corp</w:t>
      </w:r>
      <w:proofErr w:type="spellEnd"/>
      <w:r w:rsidRPr="00671B03">
        <w:rPr>
          <w:rFonts w:ascii="Noto Sans" w:hAnsi="Noto Sans" w:cs="Noto Sans"/>
          <w:i/>
          <w:iCs/>
          <w:sz w:val="20"/>
          <w:szCs w:val="20"/>
          <w:lang w:val="es-AR"/>
        </w:rPr>
        <w:t xml:space="preserve">) es una empresa líder mundial en protección de cultivos y soluciones biológicas que define el futuro a través de la agricultura sostenible y una mentalidad de dar prioridad al productor. Con una cartera sólida de soluciones holísticas, UPL </w:t>
      </w:r>
      <w:proofErr w:type="spellStart"/>
      <w:r w:rsidRPr="00671B03">
        <w:rPr>
          <w:rFonts w:ascii="Noto Sans" w:hAnsi="Noto Sans" w:cs="Noto Sans"/>
          <w:i/>
          <w:iCs/>
          <w:sz w:val="20"/>
          <w:szCs w:val="20"/>
          <w:lang w:val="es-AR"/>
        </w:rPr>
        <w:t>Corp</w:t>
      </w:r>
      <w:proofErr w:type="spellEnd"/>
      <w:r w:rsidRPr="00671B03">
        <w:rPr>
          <w:rFonts w:ascii="Noto Sans" w:hAnsi="Noto Sans" w:cs="Noto Sans"/>
          <w:i/>
          <w:iCs/>
          <w:sz w:val="20"/>
          <w:szCs w:val="20"/>
          <w:lang w:val="es-AR"/>
        </w:rPr>
        <w:t xml:space="preserve"> tiene como objetivo crear crecimiento y prosperidad compartidos para las comunidades agrícolas, la agricultura y nuestro planeta.</w:t>
      </w:r>
    </w:p>
    <w:p w14:paraId="0260813E" w14:textId="77777777" w:rsidR="00671B03" w:rsidRPr="00671B03" w:rsidRDefault="00671B03" w:rsidP="00671B03">
      <w:pPr>
        <w:rPr>
          <w:rFonts w:ascii="Noto Sans" w:hAnsi="Noto Sans" w:cs="Noto Sans"/>
          <w:i/>
          <w:iCs/>
          <w:sz w:val="20"/>
          <w:szCs w:val="20"/>
          <w:lang w:val="es-AR"/>
        </w:rPr>
      </w:pPr>
      <w:r w:rsidRPr="00671B03">
        <w:rPr>
          <w:rFonts w:ascii="Noto Sans" w:hAnsi="Noto Sans" w:cs="Noto Sans"/>
          <w:i/>
          <w:iCs/>
          <w:sz w:val="20"/>
          <w:szCs w:val="20"/>
          <w:lang w:val="es-AR"/>
        </w:rPr>
        <w:t xml:space="preserve">Como la plataforma principal del grupo UPL, UPL </w:t>
      </w:r>
      <w:proofErr w:type="spellStart"/>
      <w:r w:rsidRPr="00671B03">
        <w:rPr>
          <w:rFonts w:ascii="Noto Sans" w:hAnsi="Noto Sans" w:cs="Noto Sans"/>
          <w:i/>
          <w:iCs/>
          <w:sz w:val="20"/>
          <w:szCs w:val="20"/>
          <w:lang w:val="es-AR"/>
        </w:rPr>
        <w:t>Corp</w:t>
      </w:r>
      <w:proofErr w:type="spellEnd"/>
      <w:r w:rsidRPr="00671B03">
        <w:rPr>
          <w:rFonts w:ascii="Noto Sans" w:hAnsi="Noto Sans" w:cs="Noto Sans"/>
          <w:i/>
          <w:iCs/>
          <w:sz w:val="20"/>
          <w:szCs w:val="20"/>
          <w:lang w:val="es-AR"/>
        </w:rPr>
        <w:t xml:space="preserve"> contribuye con más de 3.200 millones de dólares en ingresos anuales y es líder en fomentar la colaboración a través de </w:t>
      </w:r>
      <w:proofErr w:type="spellStart"/>
      <w:r w:rsidRPr="00671B03">
        <w:rPr>
          <w:rFonts w:ascii="Noto Sans" w:hAnsi="Noto Sans" w:cs="Noto Sans"/>
          <w:i/>
          <w:iCs/>
          <w:sz w:val="20"/>
          <w:szCs w:val="20"/>
          <w:lang w:val="es-AR"/>
        </w:rPr>
        <w:t>OpenAg</w:t>
      </w:r>
      <w:proofErr w:type="spellEnd"/>
      <w:r w:rsidRPr="00671B03">
        <w:rPr>
          <w:rFonts w:ascii="Noto Sans" w:hAnsi="Noto Sans" w:cs="Noto Sans"/>
          <w:i/>
          <w:iCs/>
          <w:sz w:val="20"/>
          <w:szCs w:val="20"/>
          <w:lang w:val="es-AR"/>
        </w:rPr>
        <w:t>® para desarrollar tecnologías avanzadas para la salud y la productividad de los cultivos.</w:t>
      </w:r>
    </w:p>
    <w:p w14:paraId="6D5FD5BC" w14:textId="77777777" w:rsidR="00671B03" w:rsidRPr="00671B03" w:rsidRDefault="00671B03" w:rsidP="00371C62">
      <w:pPr>
        <w:rPr>
          <w:rFonts w:ascii="Noto Sans" w:hAnsi="Noto Sans" w:cs="Noto Sans"/>
          <w:sz w:val="20"/>
          <w:szCs w:val="20"/>
        </w:rPr>
      </w:pPr>
    </w:p>
    <w:sectPr w:rsidR="00671B03" w:rsidRPr="00671B03">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44FE" w14:textId="77777777" w:rsidR="00482E16" w:rsidRDefault="00482E16" w:rsidP="00371C62">
      <w:pPr>
        <w:spacing w:after="0" w:line="240" w:lineRule="auto"/>
      </w:pPr>
      <w:r>
        <w:separator/>
      </w:r>
    </w:p>
  </w:endnote>
  <w:endnote w:type="continuationSeparator" w:id="0">
    <w:p w14:paraId="0200E836" w14:textId="77777777" w:rsidR="00482E16" w:rsidRDefault="00482E16" w:rsidP="0037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3228" w14:textId="644DCD8F" w:rsidR="00671B03" w:rsidRDefault="00671B03" w:rsidP="00671B03">
    <w:pPr>
      <w:spacing w:after="0" w:line="240" w:lineRule="auto"/>
      <w:jc w:val="right"/>
      <w:rPr>
        <w:sz w:val="16"/>
        <w:szCs w:val="16"/>
      </w:rPr>
    </w:pPr>
    <w:r>
      <w:rPr>
        <w:sz w:val="16"/>
        <w:szCs w:val="16"/>
      </w:rPr>
      <w:t>Prensa: SAVIA Comunicación</w:t>
    </w:r>
  </w:p>
  <w:p w14:paraId="03020479" w14:textId="3C595EAE" w:rsidR="00671B03" w:rsidRDefault="00671B03" w:rsidP="00671B03">
    <w:pPr>
      <w:spacing w:after="0" w:line="240" w:lineRule="auto"/>
      <w:jc w:val="right"/>
      <w:rPr>
        <w:sz w:val="16"/>
        <w:szCs w:val="16"/>
      </w:rPr>
    </w:pPr>
    <w:r>
      <w:rPr>
        <w:sz w:val="16"/>
        <w:szCs w:val="16"/>
      </w:rPr>
      <w:t xml:space="preserve">+54 9 11 6967 2255 | </w:t>
    </w:r>
    <w:r w:rsidRPr="00671B03">
      <w:rPr>
        <w:sz w:val="16"/>
        <w:szCs w:val="16"/>
      </w:rPr>
      <w:t>+54 9 11 6052</w:t>
    </w:r>
    <w:r>
      <w:rPr>
        <w:sz w:val="16"/>
        <w:szCs w:val="16"/>
      </w:rPr>
      <w:t xml:space="preserve"> </w:t>
    </w:r>
    <w:r w:rsidRPr="00671B03">
      <w:rPr>
        <w:sz w:val="16"/>
        <w:szCs w:val="16"/>
      </w:rPr>
      <w:t>0241</w:t>
    </w:r>
    <w:r>
      <w:rPr>
        <w:sz w:val="16"/>
        <w:szCs w:val="16"/>
      </w:rPr>
      <w:t xml:space="preserve"> </w:t>
    </w:r>
    <w:r>
      <w:rPr>
        <w:sz w:val="16"/>
        <w:szCs w:val="16"/>
      </w:rPr>
      <w:br/>
      <w:t>prensa@saviacomunicacion.com.ar</w:t>
    </w:r>
  </w:p>
  <w:p w14:paraId="01F519FC" w14:textId="04567DE4" w:rsidR="00671B03" w:rsidRPr="00671B03" w:rsidRDefault="00671B03" w:rsidP="00671B03">
    <w:pPr>
      <w:spacing w:after="0" w:line="240" w:lineRule="auto"/>
      <w:jc w:val="right"/>
      <w:rPr>
        <w:color w:val="1155CC"/>
        <w:sz w:val="16"/>
        <w:szCs w:val="16"/>
        <w:u w:val="single"/>
      </w:rPr>
    </w:pPr>
    <w:hyperlink r:id="rId1">
      <w:r>
        <w:rPr>
          <w:color w:val="1155CC"/>
          <w:sz w:val="16"/>
          <w:szCs w:val="16"/>
          <w:u w:val="single"/>
        </w:rPr>
        <w:t>www.saviacomunicacion.com.ar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34407" w14:textId="77777777" w:rsidR="00482E16" w:rsidRDefault="00482E16" w:rsidP="00371C62">
      <w:pPr>
        <w:spacing w:after="0" w:line="240" w:lineRule="auto"/>
      </w:pPr>
      <w:r>
        <w:separator/>
      </w:r>
    </w:p>
  </w:footnote>
  <w:footnote w:type="continuationSeparator" w:id="0">
    <w:p w14:paraId="71FE0FC7" w14:textId="77777777" w:rsidR="00482E16" w:rsidRDefault="00482E16" w:rsidP="00371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5447" w14:textId="5029914E" w:rsidR="00371C62" w:rsidRDefault="00371C62" w:rsidP="00371C62">
    <w:pPr>
      <w:pStyle w:val="Encabezado"/>
      <w:jc w:val="center"/>
    </w:pPr>
    <w:r>
      <w:rPr>
        <w:noProof/>
        <w:color w:val="000000"/>
      </w:rPr>
      <w:drawing>
        <wp:inline distT="114300" distB="114300" distL="114300" distR="114300" wp14:anchorId="65B84F00" wp14:editId="7AD7B3CD">
          <wp:extent cx="1672590" cy="814034"/>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87037" cy="82106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1D"/>
    <w:rsid w:val="000F5584"/>
    <w:rsid w:val="00132E7C"/>
    <w:rsid w:val="001B07B8"/>
    <w:rsid w:val="00282000"/>
    <w:rsid w:val="00293D9A"/>
    <w:rsid w:val="00371C62"/>
    <w:rsid w:val="00434E34"/>
    <w:rsid w:val="004355B7"/>
    <w:rsid w:val="00482E16"/>
    <w:rsid w:val="00671B03"/>
    <w:rsid w:val="006A0A1D"/>
    <w:rsid w:val="00790E09"/>
    <w:rsid w:val="008B75E3"/>
    <w:rsid w:val="00CC4C34"/>
    <w:rsid w:val="00D53BB4"/>
    <w:rsid w:val="00FA39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6708"/>
  <w15:chartTrackingRefBased/>
  <w15:docId w15:val="{DEA41602-EC6C-4455-A0F3-04150013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0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6A0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A0A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A0A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A0A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A0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0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0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0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0A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6A0A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A0A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A0A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A0A1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A0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0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0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0A1D"/>
    <w:rPr>
      <w:rFonts w:eastAsiaTheme="majorEastAsia" w:cstheme="majorBidi"/>
      <w:color w:val="272727" w:themeColor="text1" w:themeTint="D8"/>
    </w:rPr>
  </w:style>
  <w:style w:type="paragraph" w:styleId="Ttulo">
    <w:name w:val="Title"/>
    <w:basedOn w:val="Normal"/>
    <w:next w:val="Normal"/>
    <w:link w:val="TtuloCar"/>
    <w:uiPriority w:val="10"/>
    <w:qFormat/>
    <w:rsid w:val="006A0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0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0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0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0A1D"/>
    <w:pPr>
      <w:spacing w:before="160"/>
      <w:jc w:val="center"/>
    </w:pPr>
    <w:rPr>
      <w:i/>
      <w:iCs/>
      <w:color w:val="404040" w:themeColor="text1" w:themeTint="BF"/>
    </w:rPr>
  </w:style>
  <w:style w:type="character" w:customStyle="1" w:styleId="CitaCar">
    <w:name w:val="Cita Car"/>
    <w:basedOn w:val="Fuentedeprrafopredeter"/>
    <w:link w:val="Cita"/>
    <w:uiPriority w:val="29"/>
    <w:rsid w:val="006A0A1D"/>
    <w:rPr>
      <w:i/>
      <w:iCs/>
      <w:color w:val="404040" w:themeColor="text1" w:themeTint="BF"/>
    </w:rPr>
  </w:style>
  <w:style w:type="paragraph" w:styleId="Prrafodelista">
    <w:name w:val="List Paragraph"/>
    <w:basedOn w:val="Normal"/>
    <w:uiPriority w:val="34"/>
    <w:qFormat/>
    <w:rsid w:val="006A0A1D"/>
    <w:pPr>
      <w:ind w:left="720"/>
      <w:contextualSpacing/>
    </w:pPr>
  </w:style>
  <w:style w:type="character" w:styleId="nfasisintenso">
    <w:name w:val="Intense Emphasis"/>
    <w:basedOn w:val="Fuentedeprrafopredeter"/>
    <w:uiPriority w:val="21"/>
    <w:qFormat/>
    <w:rsid w:val="006A0A1D"/>
    <w:rPr>
      <w:i/>
      <w:iCs/>
      <w:color w:val="2F5496" w:themeColor="accent1" w:themeShade="BF"/>
    </w:rPr>
  </w:style>
  <w:style w:type="paragraph" w:styleId="Citadestacada">
    <w:name w:val="Intense Quote"/>
    <w:basedOn w:val="Normal"/>
    <w:next w:val="Normal"/>
    <w:link w:val="CitadestacadaCar"/>
    <w:uiPriority w:val="30"/>
    <w:qFormat/>
    <w:rsid w:val="006A0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A0A1D"/>
    <w:rPr>
      <w:i/>
      <w:iCs/>
      <w:color w:val="2F5496" w:themeColor="accent1" w:themeShade="BF"/>
    </w:rPr>
  </w:style>
  <w:style w:type="character" w:styleId="Referenciaintensa">
    <w:name w:val="Intense Reference"/>
    <w:basedOn w:val="Fuentedeprrafopredeter"/>
    <w:uiPriority w:val="32"/>
    <w:qFormat/>
    <w:rsid w:val="006A0A1D"/>
    <w:rPr>
      <w:b/>
      <w:bCs/>
      <w:smallCaps/>
      <w:color w:val="2F5496" w:themeColor="accent1" w:themeShade="BF"/>
      <w:spacing w:val="5"/>
    </w:rPr>
  </w:style>
  <w:style w:type="paragraph" w:styleId="Encabezado">
    <w:name w:val="header"/>
    <w:basedOn w:val="Normal"/>
    <w:link w:val="EncabezadoCar"/>
    <w:uiPriority w:val="99"/>
    <w:unhideWhenUsed/>
    <w:rsid w:val="00371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1C62"/>
  </w:style>
  <w:style w:type="paragraph" w:styleId="Piedepgina">
    <w:name w:val="footer"/>
    <w:basedOn w:val="Normal"/>
    <w:link w:val="PiedepginaCar"/>
    <w:uiPriority w:val="99"/>
    <w:unhideWhenUsed/>
    <w:rsid w:val="00371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aviacomunicacion.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1006</Words>
  <Characters>5535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2025-08-14T02:54:00Z</dcterms:created>
  <dcterms:modified xsi:type="dcterms:W3CDTF">2025-10-29T13:13:00Z</dcterms:modified>
</cp:coreProperties>
</file>