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7C8B" w14:textId="77777777" w:rsidR="00784BE0" w:rsidRPr="00272003" w:rsidRDefault="00784BE0" w:rsidP="00784BE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sz w:val="32"/>
          <w:szCs w:val="32"/>
        </w:rPr>
      </w:pPr>
      <w:r w:rsidRPr="00272003">
        <w:rPr>
          <w:rFonts w:ascii="Calibri" w:hAnsi="Calibri" w:cs="Calibri"/>
          <w:b/>
          <w:bCs/>
          <w:sz w:val="32"/>
          <w:szCs w:val="32"/>
        </w:rPr>
        <w:t>Nidera mostró en Tandil el potencial de su genética y las claves de manejo para maximizar rindes en trigo</w:t>
      </w:r>
    </w:p>
    <w:p w14:paraId="16E5A249" w14:textId="198B2140" w:rsidR="00784BE0" w:rsidRPr="00272003" w:rsidRDefault="00784BE0" w:rsidP="00784BE0">
      <w:pPr>
        <w:spacing w:before="100" w:beforeAutospacing="1" w:after="100" w:afterAutospacing="1"/>
        <w:rPr>
          <w:rFonts w:ascii="Calibri" w:hAnsi="Calibri" w:cs="Calibri"/>
          <w:i/>
          <w:iCs/>
        </w:rPr>
      </w:pPr>
      <w:r w:rsidRPr="00272003">
        <w:rPr>
          <w:rFonts w:ascii="Calibri" w:hAnsi="Calibri" w:cs="Calibri"/>
          <w:i/>
          <w:iCs/>
        </w:rPr>
        <w:t>En una nueva edición de Campo Líder Trigo, la marca reunió a productores y asesores en Tandil para presentar su porfolio completo, anticipar próximos lanzamientos y analizar junto a especialistas las estrategias agronómicas que definen los rendimientos de la campaña.</w:t>
      </w:r>
    </w:p>
    <w:p w14:paraId="3C6E7E32" w14:textId="1D14CF51" w:rsidR="00784BE0" w:rsidRDefault="00784BE0" w:rsidP="00784BE0">
      <w:pPr>
        <w:pStyle w:val="NormalWeb"/>
        <w:rPr>
          <w:rFonts w:asciiTheme="minorHAnsi" w:hAnsiTheme="minorHAnsi" w:cstheme="minorHAnsi"/>
        </w:rPr>
      </w:pPr>
      <w:r w:rsidRPr="00784BE0">
        <w:rPr>
          <w:rFonts w:asciiTheme="minorHAnsi" w:hAnsiTheme="minorHAnsi" w:cstheme="minorHAnsi"/>
        </w:rPr>
        <w:t xml:space="preserve">Nidera Semillas realizó en Tandil una nueva edición del </w:t>
      </w:r>
      <w:r w:rsidRPr="00784BE0">
        <w:rPr>
          <w:rStyle w:val="nfasis"/>
          <w:rFonts w:asciiTheme="minorHAnsi" w:eastAsiaTheme="majorEastAsia" w:hAnsiTheme="minorHAnsi" w:cstheme="minorHAnsi"/>
        </w:rPr>
        <w:t>Campo Líder Trigo</w:t>
      </w:r>
      <w:r w:rsidRPr="00784BE0">
        <w:rPr>
          <w:rFonts w:asciiTheme="minorHAnsi" w:hAnsiTheme="minorHAnsi" w:cstheme="minorHAnsi"/>
        </w:rPr>
        <w:t xml:space="preserve">, un espacio que la marca impulsa desde hace años para acercar al productor información técnica, resultados experimentales y posicionamiento de sus principales variedades. Más de </w:t>
      </w:r>
      <w:r>
        <w:rPr>
          <w:rFonts w:asciiTheme="minorHAnsi" w:hAnsiTheme="minorHAnsi" w:cstheme="minorHAnsi"/>
        </w:rPr>
        <w:t>7</w:t>
      </w:r>
      <w:r w:rsidRPr="00784BE0">
        <w:rPr>
          <w:rFonts w:asciiTheme="minorHAnsi" w:hAnsiTheme="minorHAnsi" w:cstheme="minorHAnsi"/>
        </w:rPr>
        <w:t xml:space="preserve">0 productores </w:t>
      </w:r>
      <w:r>
        <w:rPr>
          <w:rFonts w:asciiTheme="minorHAnsi" w:hAnsiTheme="minorHAnsi" w:cstheme="minorHAnsi"/>
        </w:rPr>
        <w:t xml:space="preserve">y asesores </w:t>
      </w:r>
      <w:r w:rsidRPr="00784BE0">
        <w:rPr>
          <w:rFonts w:asciiTheme="minorHAnsi" w:hAnsiTheme="minorHAnsi" w:cstheme="minorHAnsi"/>
        </w:rPr>
        <w:t>participaron del encuentro, donde se recorrieron ensayos de genética, fertilización y manejo sanitario.</w:t>
      </w:r>
    </w:p>
    <w:p w14:paraId="5340AE4F" w14:textId="1AE9D90E" w:rsidR="00412C55" w:rsidRPr="004E57E1" w:rsidRDefault="00412C55" w:rsidP="00784BE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Sembrad</w:t>
      </w:r>
      <w:r w:rsidR="00D959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 </w:t>
      </w:r>
      <w:r w:rsidR="004E57E1">
        <w:rPr>
          <w:rFonts w:asciiTheme="minorHAnsi" w:hAnsiTheme="minorHAnsi" w:cstheme="minorHAnsi"/>
        </w:rPr>
        <w:t xml:space="preserve">en un lote con </w:t>
      </w:r>
      <w:r>
        <w:rPr>
          <w:rFonts w:asciiTheme="minorHAnsi" w:hAnsiTheme="minorHAnsi" w:cstheme="minorHAnsi"/>
        </w:rPr>
        <w:t>antecesor papa y enmarcad</w:t>
      </w:r>
      <w:r w:rsidR="00D959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 por las sierras, en la recorrida se pudieron ver parcelas con la variedad de </w:t>
      </w:r>
      <w:r w:rsidRPr="004E57E1">
        <w:rPr>
          <w:rFonts w:asciiTheme="minorHAnsi" w:hAnsiTheme="minorHAnsi" w:cstheme="minorHAnsi"/>
        </w:rPr>
        <w:t>ciclo largo Baguette 820, recomendada para ambientes de alto potencial en la zona</w:t>
      </w:r>
      <w:r w:rsidR="004E57E1">
        <w:rPr>
          <w:rFonts w:asciiTheme="minorHAnsi" w:hAnsiTheme="minorHAnsi" w:cstheme="minorHAnsi"/>
        </w:rPr>
        <w:t>;</w:t>
      </w:r>
      <w:r w:rsidRPr="004E57E1">
        <w:rPr>
          <w:rFonts w:asciiTheme="minorHAnsi" w:hAnsiTheme="minorHAnsi" w:cstheme="minorHAnsi"/>
        </w:rPr>
        <w:t xml:space="preserve"> de ciclos intermedios como el nuevo 610</w:t>
      </w:r>
      <w:r w:rsidR="004E57E1" w:rsidRPr="004E57E1">
        <w:rPr>
          <w:rFonts w:asciiTheme="minorHAnsi" w:hAnsiTheme="minorHAnsi" w:cstheme="minorHAnsi"/>
        </w:rPr>
        <w:t xml:space="preserve"> Baguette y el popular</w:t>
      </w:r>
      <w:r w:rsidRPr="004E57E1">
        <w:rPr>
          <w:rFonts w:asciiTheme="minorHAnsi" w:hAnsiTheme="minorHAnsi" w:cstheme="minorHAnsi"/>
        </w:rPr>
        <w:t xml:space="preserve"> </w:t>
      </w:r>
      <w:r w:rsidR="004E57E1" w:rsidRPr="004E57E1">
        <w:rPr>
          <w:rFonts w:asciiTheme="minorHAnsi" w:hAnsiTheme="minorHAnsi" w:cstheme="minorHAnsi"/>
        </w:rPr>
        <w:t xml:space="preserve">Baguette </w:t>
      </w:r>
      <w:r w:rsidRPr="004E57E1">
        <w:rPr>
          <w:rFonts w:asciiTheme="minorHAnsi" w:hAnsiTheme="minorHAnsi" w:cstheme="minorHAnsi"/>
        </w:rPr>
        <w:t>620</w:t>
      </w:r>
      <w:r w:rsidR="004E57E1">
        <w:rPr>
          <w:rFonts w:asciiTheme="minorHAnsi" w:hAnsiTheme="minorHAnsi" w:cstheme="minorHAnsi"/>
        </w:rPr>
        <w:t>; y de</w:t>
      </w:r>
      <w:r w:rsidR="004E57E1" w:rsidRPr="004E57E1">
        <w:rPr>
          <w:rFonts w:asciiTheme="minorHAnsi" w:hAnsiTheme="minorHAnsi" w:cstheme="minorHAnsi"/>
        </w:rPr>
        <w:t xml:space="preserve"> ciclos cortos, </w:t>
      </w:r>
      <w:r w:rsidR="004E57E1">
        <w:rPr>
          <w:rFonts w:asciiTheme="minorHAnsi" w:hAnsiTheme="minorHAnsi" w:cstheme="minorHAnsi"/>
        </w:rPr>
        <w:t>como</w:t>
      </w:r>
      <w:r w:rsidR="004E57E1" w:rsidRPr="004E57E1">
        <w:rPr>
          <w:rFonts w:asciiTheme="minorHAnsi" w:hAnsiTheme="minorHAnsi" w:cstheme="minorHAnsi"/>
        </w:rPr>
        <w:t xml:space="preserve"> </w:t>
      </w:r>
      <w:r w:rsidRPr="004E57E1">
        <w:rPr>
          <w:rFonts w:asciiTheme="minorHAnsi" w:hAnsiTheme="minorHAnsi" w:cstheme="minorHAnsi"/>
        </w:rPr>
        <w:t>Baguette 525 y 460</w:t>
      </w:r>
      <w:r w:rsidR="004E57E1" w:rsidRPr="004E57E1">
        <w:rPr>
          <w:rFonts w:asciiTheme="minorHAnsi" w:hAnsiTheme="minorHAnsi" w:cstheme="minorHAnsi"/>
        </w:rPr>
        <w:t xml:space="preserve"> Baguette. Además, se presentaron dos variedades experimentales próximas a lanzamiento. </w:t>
      </w:r>
    </w:p>
    <w:p w14:paraId="7C8D31F3" w14:textId="5A59C13B" w:rsidR="00784BE0" w:rsidRDefault="00784BE0" w:rsidP="004E57E1">
      <w:pPr>
        <w:pStyle w:val="NormalWeb"/>
        <w:rPr>
          <w:rFonts w:asciiTheme="minorHAnsi" w:hAnsiTheme="minorHAnsi" w:cstheme="minorHAnsi"/>
        </w:rPr>
      </w:pPr>
      <w:r w:rsidRPr="00784BE0">
        <w:rPr>
          <w:rFonts w:asciiTheme="minorHAnsi" w:hAnsiTheme="minorHAnsi" w:cstheme="minorHAnsi"/>
        </w:rPr>
        <w:t xml:space="preserve">Santiago Garrote, extensionista de </w:t>
      </w:r>
      <w:r w:rsidR="00412C55">
        <w:rPr>
          <w:rFonts w:asciiTheme="minorHAnsi" w:hAnsiTheme="minorHAnsi" w:cstheme="minorHAnsi"/>
        </w:rPr>
        <w:t xml:space="preserve">Nidera </w:t>
      </w:r>
      <w:r w:rsidRPr="00784BE0">
        <w:rPr>
          <w:rFonts w:asciiTheme="minorHAnsi" w:hAnsiTheme="minorHAnsi" w:cstheme="minorHAnsi"/>
        </w:rPr>
        <w:t xml:space="preserve">para el sur bonaerense, </w:t>
      </w:r>
      <w:r w:rsidR="004E57E1" w:rsidRPr="004E57E1">
        <w:rPr>
          <w:rFonts w:asciiTheme="minorHAnsi" w:hAnsiTheme="minorHAnsi" w:cstheme="minorHAnsi"/>
        </w:rPr>
        <w:t>expuso que el objetivo es mostrar el comportamiento del por</w:t>
      </w:r>
      <w:r w:rsidR="00E52343">
        <w:rPr>
          <w:rFonts w:asciiTheme="minorHAnsi" w:hAnsiTheme="minorHAnsi" w:cstheme="minorHAnsi"/>
        </w:rPr>
        <w:t>ta</w:t>
      </w:r>
      <w:r w:rsidR="004E57E1" w:rsidRPr="004E57E1">
        <w:rPr>
          <w:rFonts w:asciiTheme="minorHAnsi" w:hAnsiTheme="minorHAnsi" w:cstheme="minorHAnsi"/>
        </w:rPr>
        <w:t>folio completo de la marca bajo dos fechas de siembra diferenciadas, arrancando a principios de junio para los ciclos más largos</w:t>
      </w:r>
      <w:r w:rsidR="00EE648C">
        <w:rPr>
          <w:rFonts w:asciiTheme="minorHAnsi" w:hAnsiTheme="minorHAnsi" w:cstheme="minorHAnsi"/>
        </w:rPr>
        <w:t xml:space="preserve"> y </w:t>
      </w:r>
      <w:r w:rsidR="00EE648C" w:rsidRPr="00EE648C">
        <w:rPr>
          <w:rFonts w:asciiTheme="minorHAnsi" w:hAnsiTheme="minorHAnsi" w:cstheme="minorHAnsi"/>
        </w:rPr>
        <w:t xml:space="preserve">principios de julio para las </w:t>
      </w:r>
      <w:r w:rsidR="00EE648C">
        <w:rPr>
          <w:rFonts w:asciiTheme="minorHAnsi" w:hAnsiTheme="minorHAnsi" w:cstheme="minorHAnsi"/>
        </w:rPr>
        <w:t xml:space="preserve">variedades </w:t>
      </w:r>
      <w:r w:rsidR="00EE648C" w:rsidRPr="00EE648C">
        <w:rPr>
          <w:rFonts w:asciiTheme="minorHAnsi" w:hAnsiTheme="minorHAnsi" w:cstheme="minorHAnsi"/>
        </w:rPr>
        <w:t>intermedias</w:t>
      </w:r>
      <w:r w:rsidR="00EE648C">
        <w:rPr>
          <w:rFonts w:asciiTheme="minorHAnsi" w:hAnsiTheme="minorHAnsi" w:cstheme="minorHAnsi"/>
        </w:rPr>
        <w:t xml:space="preserve"> y </w:t>
      </w:r>
      <w:r w:rsidR="00EE648C" w:rsidRPr="00EE648C">
        <w:rPr>
          <w:rFonts w:asciiTheme="minorHAnsi" w:hAnsiTheme="minorHAnsi" w:cstheme="minorHAnsi"/>
        </w:rPr>
        <w:t>cortas</w:t>
      </w:r>
      <w:r w:rsidR="004E57E1" w:rsidRPr="004E57E1">
        <w:rPr>
          <w:rFonts w:asciiTheme="minorHAnsi" w:hAnsiTheme="minorHAnsi" w:cstheme="minorHAnsi"/>
        </w:rPr>
        <w:t xml:space="preserve">, permitiendo evaluar la plasticidad y estabilidad de cada </w:t>
      </w:r>
      <w:r w:rsidR="00EE648C">
        <w:rPr>
          <w:rFonts w:asciiTheme="minorHAnsi" w:hAnsiTheme="minorHAnsi" w:cstheme="minorHAnsi"/>
        </w:rPr>
        <w:t>trigo</w:t>
      </w:r>
      <w:r w:rsidR="004E57E1" w:rsidRPr="004E57E1">
        <w:rPr>
          <w:rFonts w:asciiTheme="minorHAnsi" w:hAnsiTheme="minorHAnsi" w:cstheme="minorHAnsi"/>
        </w:rPr>
        <w:t xml:space="preserve"> en escenarios contrastantes. Durante la recorrida también se analizaron ensayos de fertilización, sobre lo cual Garrote resaltó </w:t>
      </w:r>
      <w:r w:rsidRPr="00784BE0">
        <w:rPr>
          <w:rFonts w:asciiTheme="minorHAnsi" w:hAnsiTheme="minorHAnsi" w:cstheme="minorHAnsi"/>
        </w:rPr>
        <w:t>que la fertilización dividida de nitrógeno está mostrando “muy buenas respuestas”, y que el mayor impacto en rendimiento llega cuando se integran fecha de siembra, nutrición y manejo sanitario.</w:t>
      </w:r>
    </w:p>
    <w:p w14:paraId="11040CBE" w14:textId="77777777" w:rsidR="00E52343" w:rsidRDefault="004E57E1" w:rsidP="00DF130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Otto </w:t>
      </w:r>
      <w:proofErr w:type="spellStart"/>
      <w:r>
        <w:rPr>
          <w:rFonts w:asciiTheme="minorHAnsi" w:hAnsiTheme="minorHAnsi" w:cstheme="minorHAnsi"/>
        </w:rPr>
        <w:t>G</w:t>
      </w:r>
      <w:r w:rsidRPr="004E57E1">
        <w:rPr>
          <w:rFonts w:asciiTheme="minorHAnsi" w:hAnsiTheme="minorHAnsi" w:cstheme="minorHAnsi"/>
        </w:rPr>
        <w:t>oedelmann</w:t>
      </w:r>
      <w:proofErr w:type="spellEnd"/>
      <w:r>
        <w:rPr>
          <w:rFonts w:asciiTheme="minorHAnsi" w:hAnsiTheme="minorHAnsi" w:cstheme="minorHAnsi"/>
        </w:rPr>
        <w:t xml:space="preserve"> es el </w:t>
      </w:r>
      <w:r w:rsidR="00784BE0" w:rsidRPr="00784BE0">
        <w:rPr>
          <w:rFonts w:asciiTheme="minorHAnsi" w:hAnsiTheme="minorHAnsi" w:cstheme="minorHAnsi"/>
        </w:rPr>
        <w:t>gerente comercial de Autógamas de Nidera</w:t>
      </w:r>
      <w:r>
        <w:rPr>
          <w:rFonts w:asciiTheme="minorHAnsi" w:hAnsiTheme="minorHAnsi" w:cstheme="minorHAnsi"/>
        </w:rPr>
        <w:t xml:space="preserve"> Semillas. En su opinión, al excelente desempeño </w:t>
      </w:r>
      <w:r w:rsidR="00784BE0" w:rsidRPr="00784BE0">
        <w:rPr>
          <w:rFonts w:asciiTheme="minorHAnsi" w:hAnsiTheme="minorHAnsi" w:cstheme="minorHAnsi"/>
        </w:rPr>
        <w:t>de Baguette 820</w:t>
      </w:r>
      <w:r>
        <w:rPr>
          <w:rFonts w:asciiTheme="minorHAnsi" w:hAnsiTheme="minorHAnsi" w:cstheme="minorHAnsi"/>
        </w:rPr>
        <w:t xml:space="preserve"> en la zona le sigue el 610 Baguette, que como opción intermedia ofrece una destacada sanidad </w:t>
      </w:r>
      <w:r w:rsidR="00784BE0" w:rsidRPr="00784BE0">
        <w:rPr>
          <w:rFonts w:asciiTheme="minorHAnsi" w:hAnsiTheme="minorHAnsi" w:cstheme="minorHAnsi"/>
        </w:rPr>
        <w:t>con altísimo potencial</w:t>
      </w:r>
      <w:r>
        <w:rPr>
          <w:rFonts w:asciiTheme="minorHAnsi" w:hAnsiTheme="minorHAnsi" w:cstheme="minorHAnsi"/>
        </w:rPr>
        <w:t xml:space="preserve"> de rendimiento</w:t>
      </w:r>
      <w:r w:rsidR="00784BE0" w:rsidRPr="00784BE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C43C3B2" w14:textId="44B28E25" w:rsidR="00784BE0" w:rsidRPr="00784BE0" w:rsidRDefault="004E57E1" w:rsidP="00DF130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Entre los </w:t>
      </w:r>
      <w:proofErr w:type="spellStart"/>
      <w:r>
        <w:rPr>
          <w:rFonts w:asciiTheme="minorHAnsi" w:hAnsiTheme="minorHAnsi" w:cstheme="minorHAnsi"/>
        </w:rPr>
        <w:t>precomerciales</w:t>
      </w:r>
      <w:proofErr w:type="spellEnd"/>
      <w:r>
        <w:rPr>
          <w:rFonts w:asciiTheme="minorHAnsi" w:hAnsiTheme="minorHAnsi" w:cstheme="minorHAnsi"/>
        </w:rPr>
        <w:t xml:space="preserve"> </w:t>
      </w:r>
      <w:r w:rsidR="00784BE0" w:rsidRPr="00784BE0">
        <w:rPr>
          <w:rFonts w:asciiTheme="minorHAnsi" w:hAnsiTheme="minorHAnsi" w:cstheme="minorHAnsi"/>
        </w:rPr>
        <w:t>que podrían lanzarse en la próxima campaña</w:t>
      </w:r>
      <w:r>
        <w:rPr>
          <w:rFonts w:asciiTheme="minorHAnsi" w:hAnsiTheme="minorHAnsi" w:cstheme="minorHAnsi"/>
        </w:rPr>
        <w:t xml:space="preserve">, el técnico anunció </w:t>
      </w:r>
      <w:r w:rsidR="00DF1303">
        <w:rPr>
          <w:rFonts w:asciiTheme="minorHAnsi" w:hAnsiTheme="minorHAnsi" w:cstheme="minorHAnsi"/>
        </w:rPr>
        <w:t xml:space="preserve">la llegada de </w:t>
      </w:r>
      <w:r w:rsidRPr="001E0317">
        <w:rPr>
          <w:rFonts w:asciiTheme="minorHAnsi" w:hAnsiTheme="minorHAnsi" w:cstheme="minorHAnsi"/>
        </w:rPr>
        <w:t>u</w:t>
      </w:r>
      <w:r w:rsidR="00784BE0" w:rsidRPr="001E0317">
        <w:rPr>
          <w:rFonts w:asciiTheme="minorHAnsi" w:hAnsiTheme="minorHAnsi" w:cstheme="minorHAnsi"/>
        </w:rPr>
        <w:t>n ciclo intermedio</w:t>
      </w:r>
      <w:r w:rsidR="00784BE0" w:rsidRPr="00784BE0">
        <w:rPr>
          <w:rFonts w:asciiTheme="minorHAnsi" w:hAnsiTheme="minorHAnsi" w:cstheme="minorHAnsi"/>
        </w:rPr>
        <w:t>, con excelente perfil sanitario y rendimiento</w:t>
      </w:r>
      <w:r w:rsidR="00DF1303">
        <w:rPr>
          <w:rFonts w:asciiTheme="minorHAnsi" w:hAnsiTheme="minorHAnsi" w:cstheme="minorHAnsi"/>
        </w:rPr>
        <w:t xml:space="preserve">, y </w:t>
      </w:r>
      <w:r w:rsidR="00DF1303" w:rsidRPr="001E0317">
        <w:rPr>
          <w:rFonts w:asciiTheme="minorHAnsi" w:hAnsiTheme="minorHAnsi" w:cstheme="minorHAnsi"/>
        </w:rPr>
        <w:t>u</w:t>
      </w:r>
      <w:r w:rsidR="00784BE0" w:rsidRPr="001E0317">
        <w:rPr>
          <w:rFonts w:asciiTheme="minorHAnsi" w:hAnsiTheme="minorHAnsi" w:cstheme="minorHAnsi"/>
        </w:rPr>
        <w:t>n ciclo corto</w:t>
      </w:r>
      <w:r w:rsidR="00784BE0" w:rsidRPr="00784BE0">
        <w:rPr>
          <w:rFonts w:asciiTheme="minorHAnsi" w:hAnsiTheme="minorHAnsi" w:cstheme="minorHAnsi"/>
        </w:rPr>
        <w:t xml:space="preserve">, destinado a complementar la oferta actual de Baguette 525 y 460, evaluado tanto en el </w:t>
      </w:r>
      <w:r w:rsidR="00DF1303">
        <w:rPr>
          <w:rFonts w:asciiTheme="minorHAnsi" w:hAnsiTheme="minorHAnsi" w:cstheme="minorHAnsi"/>
        </w:rPr>
        <w:t>S</w:t>
      </w:r>
      <w:r w:rsidR="00784BE0" w:rsidRPr="00784BE0">
        <w:rPr>
          <w:rFonts w:asciiTheme="minorHAnsi" w:hAnsiTheme="minorHAnsi" w:cstheme="minorHAnsi"/>
        </w:rPr>
        <w:t>ur como en la zona central del país.</w:t>
      </w:r>
    </w:p>
    <w:p w14:paraId="7D80B630" w14:textId="6D5F0164" w:rsidR="00784BE0" w:rsidRPr="00784BE0" w:rsidRDefault="00DF1303" w:rsidP="00DF1303">
      <w:pPr>
        <w:pStyle w:val="Norma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Goedelmann</w:t>
      </w:r>
      <w:proofErr w:type="spellEnd"/>
      <w:r w:rsidR="00784BE0" w:rsidRPr="00784BE0">
        <w:rPr>
          <w:rFonts w:asciiTheme="minorHAnsi" w:hAnsiTheme="minorHAnsi" w:cstheme="minorHAnsi"/>
        </w:rPr>
        <w:t xml:space="preserve"> enfatizó que la productividad sigue siendo el driver principal de selección, pero “la sanidad hoy corre muy de cerca”, especialmente en ro</w:t>
      </w:r>
      <w:r>
        <w:rPr>
          <w:rFonts w:asciiTheme="minorHAnsi" w:hAnsiTheme="minorHAnsi" w:cstheme="minorHAnsi"/>
        </w:rPr>
        <w:t>y</w:t>
      </w:r>
      <w:r w:rsidR="00784BE0" w:rsidRPr="00784BE0">
        <w:rPr>
          <w:rFonts w:asciiTheme="minorHAnsi" w:hAnsiTheme="minorHAnsi" w:cstheme="minorHAnsi"/>
        </w:rPr>
        <w:t>as y manchas, componentes clave en la decisión de avance comercial de cada variedad.</w:t>
      </w:r>
    </w:p>
    <w:p w14:paraId="669283CB" w14:textId="77777777" w:rsidR="00E52343" w:rsidRDefault="00784BE0" w:rsidP="00784BE0">
      <w:pPr>
        <w:pStyle w:val="NormalWeb"/>
        <w:rPr>
          <w:rFonts w:asciiTheme="minorHAnsi" w:hAnsiTheme="minorHAnsi" w:cstheme="minorHAnsi"/>
          <w:b/>
          <w:bCs/>
        </w:rPr>
      </w:pPr>
      <w:r w:rsidRPr="00E52343">
        <w:rPr>
          <w:rFonts w:asciiTheme="minorHAnsi" w:hAnsiTheme="minorHAnsi" w:cstheme="minorHAnsi"/>
          <w:b/>
          <w:bCs/>
        </w:rPr>
        <w:t>Claves agronómicas de la campaña</w:t>
      </w:r>
    </w:p>
    <w:p w14:paraId="3FDBE3CD" w14:textId="7FAB380F" w:rsidR="00DF1303" w:rsidRPr="00E52343" w:rsidRDefault="001E0317" w:rsidP="00784BE0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Durante la jornada Campo Líder Trigo, e</w:t>
      </w:r>
      <w:r w:rsidR="00784BE0" w:rsidRPr="00784BE0">
        <w:rPr>
          <w:rFonts w:asciiTheme="minorHAnsi" w:hAnsiTheme="minorHAnsi" w:cstheme="minorHAnsi"/>
        </w:rPr>
        <w:t xml:space="preserve">l </w:t>
      </w:r>
      <w:r w:rsidR="00DF1303">
        <w:rPr>
          <w:rFonts w:asciiTheme="minorHAnsi" w:hAnsiTheme="minorHAnsi" w:cstheme="minorHAnsi"/>
        </w:rPr>
        <w:t>asesor</w:t>
      </w:r>
      <w:r w:rsidR="00784BE0" w:rsidRPr="00784BE0">
        <w:rPr>
          <w:rFonts w:asciiTheme="minorHAnsi" w:hAnsiTheme="minorHAnsi" w:cstheme="minorHAnsi"/>
        </w:rPr>
        <w:t xml:space="preserve"> Diego Álvarez</w:t>
      </w:r>
      <w:r w:rsidR="00DF1303" w:rsidRPr="00DF1303">
        <w:t xml:space="preserve"> </w:t>
      </w:r>
      <w:r w:rsidR="00DF1303" w:rsidRPr="00E52343">
        <w:rPr>
          <w:rFonts w:asciiTheme="minorHAnsi" w:hAnsiTheme="minorHAnsi" w:cstheme="minorHAnsi"/>
        </w:rPr>
        <w:t xml:space="preserve">analizó las variables que </w:t>
      </w:r>
      <w:r w:rsidR="00DF1303" w:rsidRPr="00D959E7">
        <w:rPr>
          <w:rFonts w:asciiTheme="minorHAnsi" w:hAnsiTheme="minorHAnsi" w:cstheme="minorHAnsi"/>
        </w:rPr>
        <w:t>condicionaron la expresión del rendimiento potencial en la campaña 2024/25</w:t>
      </w:r>
      <w:r w:rsidRPr="00D959E7">
        <w:rPr>
          <w:rFonts w:asciiTheme="minorHAnsi" w:hAnsiTheme="minorHAnsi" w:cstheme="minorHAnsi"/>
        </w:rPr>
        <w:t xml:space="preserve">. </w:t>
      </w:r>
    </w:p>
    <w:p w14:paraId="743D95C6" w14:textId="3ADE653E" w:rsidR="001E0317" w:rsidRPr="00D959E7" w:rsidRDefault="001E0317" w:rsidP="001E0317">
      <w:pPr>
        <w:pStyle w:val="NormalWeb"/>
        <w:rPr>
          <w:rFonts w:asciiTheme="minorHAnsi" w:hAnsiTheme="minorHAnsi" w:cstheme="minorHAnsi"/>
        </w:rPr>
      </w:pPr>
      <w:r w:rsidRPr="00D959E7">
        <w:rPr>
          <w:rFonts w:asciiTheme="minorHAnsi" w:hAnsiTheme="minorHAnsi" w:cstheme="minorHAnsi"/>
        </w:rPr>
        <w:t xml:space="preserve">“Los excesos hídricos de agosto generaron alta probabilidad de pérdida de nitratos, afectando número de granos por m² en situaciones sin </w:t>
      </w:r>
      <w:proofErr w:type="spellStart"/>
      <w:r w:rsidRPr="00D959E7">
        <w:rPr>
          <w:rFonts w:asciiTheme="minorHAnsi" w:hAnsiTheme="minorHAnsi" w:cstheme="minorHAnsi"/>
        </w:rPr>
        <w:t>refertilización</w:t>
      </w:r>
      <w:proofErr w:type="spellEnd"/>
      <w:r w:rsidRPr="00D959E7">
        <w:rPr>
          <w:rFonts w:asciiTheme="minorHAnsi" w:hAnsiTheme="minorHAnsi" w:cstheme="minorHAnsi"/>
        </w:rPr>
        <w:t xml:space="preserve"> oportuna”, puntualizó </w:t>
      </w:r>
      <w:r w:rsidR="00E52343">
        <w:rPr>
          <w:rFonts w:asciiTheme="minorHAnsi" w:hAnsiTheme="minorHAnsi" w:cstheme="minorHAnsi"/>
        </w:rPr>
        <w:t>Á</w:t>
      </w:r>
      <w:r w:rsidRPr="00D959E7">
        <w:rPr>
          <w:rFonts w:asciiTheme="minorHAnsi" w:hAnsiTheme="minorHAnsi" w:cstheme="minorHAnsi"/>
        </w:rPr>
        <w:t xml:space="preserve">lvarez. Además, destacó la importancia del coeficiente </w:t>
      </w:r>
      <w:proofErr w:type="spellStart"/>
      <w:r w:rsidRPr="00D959E7">
        <w:rPr>
          <w:rFonts w:asciiTheme="minorHAnsi" w:hAnsiTheme="minorHAnsi" w:cstheme="minorHAnsi"/>
        </w:rPr>
        <w:t>fototermal</w:t>
      </w:r>
      <w:proofErr w:type="spellEnd"/>
      <w:r w:rsidRPr="00D959E7">
        <w:rPr>
          <w:rFonts w:asciiTheme="minorHAnsi" w:hAnsiTheme="minorHAnsi" w:cstheme="minorHAnsi"/>
        </w:rPr>
        <w:t xml:space="preserve"> (Q) en zonas como Tandil, donde días frescos y despejados aumentan el peso de mil.</w:t>
      </w:r>
    </w:p>
    <w:p w14:paraId="5BF09E98" w14:textId="77777777" w:rsidR="00E52343" w:rsidRDefault="001E0317" w:rsidP="001E0317">
      <w:pPr>
        <w:pStyle w:val="NormalWeb"/>
        <w:rPr>
          <w:rFonts w:asciiTheme="minorHAnsi" w:hAnsiTheme="minorHAnsi" w:cstheme="minorHAnsi"/>
        </w:rPr>
      </w:pPr>
      <w:r w:rsidRPr="00D959E7">
        <w:rPr>
          <w:rFonts w:asciiTheme="minorHAnsi" w:hAnsiTheme="minorHAnsi" w:cstheme="minorHAnsi"/>
        </w:rPr>
        <w:t xml:space="preserve">Álvarez insistió en que “el monitoreo es la base de un manejo sustentable”: </w:t>
      </w:r>
      <w:r w:rsidR="00E52343">
        <w:rPr>
          <w:rFonts w:asciiTheme="minorHAnsi" w:hAnsiTheme="minorHAnsi" w:cstheme="minorHAnsi"/>
        </w:rPr>
        <w:t xml:space="preserve">hay que </w:t>
      </w:r>
      <w:r w:rsidRPr="00D959E7">
        <w:rPr>
          <w:rFonts w:asciiTheme="minorHAnsi" w:hAnsiTheme="minorHAnsi" w:cstheme="minorHAnsi"/>
        </w:rPr>
        <w:t xml:space="preserve">reconocer fenología, cuantificar adversidades y elegir fungicidas adecuados según el potencial de cada lote. También explicó cómo determinar el estado de llenado del grano utilizando la escala </w:t>
      </w:r>
      <w:proofErr w:type="spellStart"/>
      <w:r w:rsidRPr="00D959E7">
        <w:rPr>
          <w:rFonts w:asciiTheme="minorHAnsi" w:hAnsiTheme="minorHAnsi" w:cstheme="minorHAnsi"/>
        </w:rPr>
        <w:t>Zadoks</w:t>
      </w:r>
      <w:proofErr w:type="spellEnd"/>
      <w:r w:rsidRPr="00D959E7">
        <w:rPr>
          <w:rFonts w:asciiTheme="minorHAnsi" w:hAnsiTheme="minorHAnsi" w:cstheme="minorHAnsi"/>
        </w:rPr>
        <w:t xml:space="preserve">, crítica para el seguimiento sanitario. </w:t>
      </w:r>
    </w:p>
    <w:p w14:paraId="1A5FF900" w14:textId="151CBB63" w:rsidR="001E0317" w:rsidRPr="00D959E7" w:rsidRDefault="001E0317" w:rsidP="001E0317">
      <w:pPr>
        <w:pStyle w:val="NormalWeb"/>
        <w:rPr>
          <w:rFonts w:asciiTheme="minorHAnsi" w:hAnsiTheme="minorHAnsi" w:cstheme="minorHAnsi"/>
        </w:rPr>
      </w:pPr>
      <w:r w:rsidRPr="00D959E7">
        <w:rPr>
          <w:rFonts w:asciiTheme="minorHAnsi" w:hAnsiTheme="minorHAnsi" w:cstheme="minorHAnsi"/>
        </w:rPr>
        <w:t>“Existe un fungicida para cada potencial”</w:t>
      </w:r>
      <w:r w:rsidR="00E52343">
        <w:rPr>
          <w:rFonts w:asciiTheme="minorHAnsi" w:hAnsiTheme="minorHAnsi" w:cstheme="minorHAnsi"/>
        </w:rPr>
        <w:t xml:space="preserve">, </w:t>
      </w:r>
      <w:r w:rsidRPr="00D959E7">
        <w:rPr>
          <w:rFonts w:asciiTheme="minorHAnsi" w:hAnsiTheme="minorHAnsi" w:cstheme="minorHAnsi"/>
        </w:rPr>
        <w:t xml:space="preserve">dijo y </w:t>
      </w:r>
      <w:r w:rsidR="00E52343">
        <w:rPr>
          <w:rFonts w:asciiTheme="minorHAnsi" w:hAnsiTheme="minorHAnsi" w:cstheme="minorHAnsi"/>
        </w:rPr>
        <w:t xml:space="preserve">puntualizó que </w:t>
      </w:r>
      <w:r w:rsidRPr="00D959E7">
        <w:rPr>
          <w:rFonts w:asciiTheme="minorHAnsi" w:hAnsiTheme="minorHAnsi" w:cstheme="minorHAnsi"/>
        </w:rPr>
        <w:t xml:space="preserve">para poder identificarlo es necesario cuantificar la severidad, relacionar la fenología con la condición ambiental y la presión de inóculo, y en base a eso ajustar dosis y activos combinados según </w:t>
      </w:r>
      <w:r w:rsidR="00E52343">
        <w:rPr>
          <w:rFonts w:asciiTheme="minorHAnsi" w:hAnsiTheme="minorHAnsi" w:cstheme="minorHAnsi"/>
        </w:rPr>
        <w:t xml:space="preserve">la </w:t>
      </w:r>
      <w:r w:rsidRPr="00D959E7">
        <w:rPr>
          <w:rFonts w:asciiTheme="minorHAnsi" w:hAnsiTheme="minorHAnsi" w:cstheme="minorHAnsi"/>
        </w:rPr>
        <w:t>expectativa de rendimiento.</w:t>
      </w:r>
    </w:p>
    <w:p w14:paraId="7B7490A7" w14:textId="47B74A99" w:rsidR="00784BE0" w:rsidRPr="00E52343" w:rsidRDefault="001E0317" w:rsidP="00E52343">
      <w:pPr>
        <w:pStyle w:val="NormalWeb"/>
        <w:rPr>
          <w:rFonts w:asciiTheme="minorHAnsi" w:hAnsiTheme="minorHAnsi" w:cstheme="minorHAnsi"/>
          <w:b/>
          <w:bCs/>
        </w:rPr>
      </w:pPr>
      <w:r w:rsidRPr="00E52343">
        <w:rPr>
          <w:rFonts w:asciiTheme="minorHAnsi" w:hAnsiTheme="minorHAnsi" w:cstheme="minorHAnsi"/>
          <w:b/>
          <w:bCs/>
        </w:rPr>
        <w:t xml:space="preserve">El manejo </w:t>
      </w:r>
      <w:r w:rsidR="00784BE0" w:rsidRPr="00E52343">
        <w:rPr>
          <w:rFonts w:asciiTheme="minorHAnsi" w:hAnsiTheme="minorHAnsi" w:cstheme="minorHAnsi"/>
          <w:b/>
          <w:bCs/>
        </w:rPr>
        <w:t>económic</w:t>
      </w:r>
      <w:r w:rsidRPr="00E52343">
        <w:rPr>
          <w:rFonts w:asciiTheme="minorHAnsi" w:hAnsiTheme="minorHAnsi" w:cstheme="minorHAnsi"/>
          <w:b/>
          <w:bCs/>
        </w:rPr>
        <w:t>o</w:t>
      </w:r>
      <w:r w:rsidR="00784BE0" w:rsidRPr="00E52343">
        <w:rPr>
          <w:rFonts w:asciiTheme="minorHAnsi" w:hAnsiTheme="minorHAnsi" w:cstheme="minorHAnsi"/>
          <w:b/>
          <w:bCs/>
        </w:rPr>
        <w:t xml:space="preserve"> y </w:t>
      </w:r>
      <w:r w:rsidRPr="00E52343">
        <w:rPr>
          <w:rFonts w:asciiTheme="minorHAnsi" w:hAnsiTheme="minorHAnsi" w:cstheme="minorHAnsi"/>
          <w:b/>
          <w:bCs/>
        </w:rPr>
        <w:t xml:space="preserve">las </w:t>
      </w:r>
      <w:r w:rsidR="00784BE0" w:rsidRPr="00E52343">
        <w:rPr>
          <w:rFonts w:asciiTheme="minorHAnsi" w:hAnsiTheme="minorHAnsi" w:cstheme="minorHAnsi"/>
          <w:b/>
          <w:bCs/>
        </w:rPr>
        <w:t xml:space="preserve">recomendaciones </w:t>
      </w:r>
    </w:p>
    <w:p w14:paraId="5B3C282D" w14:textId="1AF248E2" w:rsidR="00784BE0" w:rsidRPr="00D959E7" w:rsidRDefault="00784BE0" w:rsidP="00D959E7">
      <w:pPr>
        <w:pStyle w:val="NormalWeb"/>
        <w:rPr>
          <w:rFonts w:asciiTheme="minorHAnsi" w:hAnsiTheme="minorHAnsi" w:cstheme="minorHAnsi"/>
        </w:rPr>
      </w:pPr>
      <w:r w:rsidRPr="00D959E7">
        <w:rPr>
          <w:rFonts w:asciiTheme="minorHAnsi" w:hAnsiTheme="minorHAnsi" w:cstheme="minorHAnsi"/>
        </w:rPr>
        <w:t>El asesor CREA y consultor regional Di</w:t>
      </w:r>
      <w:r w:rsidR="001E0317" w:rsidRPr="00D959E7">
        <w:rPr>
          <w:rFonts w:asciiTheme="minorHAnsi" w:hAnsiTheme="minorHAnsi" w:cstheme="minorHAnsi"/>
        </w:rPr>
        <w:t>eg</w:t>
      </w:r>
      <w:r w:rsidRPr="00D959E7">
        <w:rPr>
          <w:rFonts w:asciiTheme="minorHAnsi" w:hAnsiTheme="minorHAnsi" w:cstheme="minorHAnsi"/>
        </w:rPr>
        <w:t>o Aguilera aportó la mirada económica de la campaña. Señaló que</w:t>
      </w:r>
      <w:r w:rsidR="00D959E7" w:rsidRPr="00D959E7">
        <w:rPr>
          <w:rFonts w:asciiTheme="minorHAnsi" w:hAnsiTheme="minorHAnsi" w:cstheme="minorHAnsi"/>
        </w:rPr>
        <w:t xml:space="preserve"> l</w:t>
      </w:r>
      <w:r w:rsidRPr="00D959E7">
        <w:rPr>
          <w:rFonts w:asciiTheme="minorHAnsi" w:hAnsiTheme="minorHAnsi" w:cstheme="minorHAnsi"/>
        </w:rPr>
        <w:t>a cebada, tanto cervecera como forrajera, se posicionó muy bien en márgenes.</w:t>
      </w:r>
      <w:r w:rsidR="00D959E7" w:rsidRPr="00D959E7">
        <w:rPr>
          <w:rFonts w:asciiTheme="minorHAnsi" w:hAnsiTheme="minorHAnsi" w:cstheme="minorHAnsi"/>
        </w:rPr>
        <w:t xml:space="preserve"> </w:t>
      </w:r>
      <w:r w:rsidRPr="00D959E7">
        <w:rPr>
          <w:rFonts w:asciiTheme="minorHAnsi" w:hAnsiTheme="minorHAnsi" w:cstheme="minorHAnsi"/>
        </w:rPr>
        <w:t>El girasol alto oleico fue el otro cultivo estrella por rentabilidad.</w:t>
      </w:r>
      <w:r w:rsidR="00D959E7" w:rsidRPr="00D959E7">
        <w:rPr>
          <w:rFonts w:asciiTheme="minorHAnsi" w:hAnsiTheme="minorHAnsi" w:cstheme="minorHAnsi"/>
        </w:rPr>
        <w:t xml:space="preserve"> En tanto que e</w:t>
      </w:r>
      <w:r w:rsidRPr="00D959E7">
        <w:rPr>
          <w:rFonts w:asciiTheme="minorHAnsi" w:hAnsiTheme="minorHAnsi" w:cstheme="minorHAnsi"/>
        </w:rPr>
        <w:t>l trigo, pese a tener muy buenos rindes potenciales, podría ver afectado su margen por precios deprimidos ante una gran producción nacional.</w:t>
      </w:r>
    </w:p>
    <w:p w14:paraId="01162636" w14:textId="20FDC736" w:rsidR="00784BE0" w:rsidRDefault="00D959E7" w:rsidP="00D959E7">
      <w:pPr>
        <w:pStyle w:val="NormalWeb"/>
        <w:rPr>
          <w:rFonts w:asciiTheme="minorHAnsi" w:hAnsiTheme="minorHAnsi" w:cstheme="minorHAnsi"/>
        </w:rPr>
      </w:pPr>
      <w:r w:rsidRPr="00D959E7">
        <w:rPr>
          <w:rFonts w:asciiTheme="minorHAnsi" w:hAnsiTheme="minorHAnsi" w:cstheme="minorHAnsi"/>
        </w:rPr>
        <w:t xml:space="preserve">Con este panorama, Aguilera brindó una serie de </w:t>
      </w:r>
      <w:r w:rsidR="00784BE0" w:rsidRPr="00D959E7">
        <w:rPr>
          <w:rFonts w:asciiTheme="minorHAnsi" w:hAnsiTheme="minorHAnsi" w:cstheme="minorHAnsi"/>
        </w:rPr>
        <w:t>recomendaciones</w:t>
      </w:r>
      <w:r w:rsidRPr="00D959E7">
        <w:rPr>
          <w:rFonts w:asciiTheme="minorHAnsi" w:hAnsiTheme="minorHAnsi" w:cstheme="minorHAnsi"/>
        </w:rPr>
        <w:t xml:space="preserve">. </w:t>
      </w:r>
      <w:r w:rsidR="00784BE0" w:rsidRPr="00D959E7">
        <w:rPr>
          <w:rFonts w:asciiTheme="minorHAnsi" w:hAnsiTheme="minorHAnsi" w:cstheme="minorHAnsi"/>
        </w:rPr>
        <w:t xml:space="preserve">Adelantar lo más posible la cosecha de cebada para </w:t>
      </w:r>
      <w:r w:rsidRPr="00D959E7">
        <w:rPr>
          <w:rFonts w:asciiTheme="minorHAnsi" w:hAnsiTheme="minorHAnsi" w:cstheme="minorHAnsi"/>
        </w:rPr>
        <w:t>reducir</w:t>
      </w:r>
      <w:r w:rsidRPr="00E52343">
        <w:rPr>
          <w:rFonts w:asciiTheme="minorHAnsi" w:hAnsiTheme="minorHAnsi" w:cstheme="minorHAnsi"/>
        </w:rPr>
        <w:t xml:space="preserve"> pérdidas por quebrado, por ejemplo.</w:t>
      </w:r>
      <w:r>
        <w:rPr>
          <w:rFonts w:asciiTheme="minorHAnsi" w:hAnsiTheme="minorHAnsi" w:cstheme="minorHAnsi"/>
        </w:rPr>
        <w:t xml:space="preserve"> También sugirió r</w:t>
      </w:r>
      <w:r w:rsidR="00784BE0" w:rsidRPr="00784BE0">
        <w:rPr>
          <w:rFonts w:asciiTheme="minorHAnsi" w:hAnsiTheme="minorHAnsi" w:cstheme="minorHAnsi"/>
        </w:rPr>
        <w:t>etener trigo —si la situación financiera lo permite— para venderlo desde marzo en adelante.</w:t>
      </w:r>
      <w:r>
        <w:rPr>
          <w:rFonts w:asciiTheme="minorHAnsi" w:hAnsiTheme="minorHAnsi" w:cstheme="minorHAnsi"/>
        </w:rPr>
        <w:t xml:space="preserve"> En lo que hace a manejo, c</w:t>
      </w:r>
      <w:r w:rsidR="00784BE0" w:rsidRPr="00784BE0">
        <w:rPr>
          <w:rFonts w:asciiTheme="minorHAnsi" w:hAnsiTheme="minorHAnsi" w:cstheme="minorHAnsi"/>
        </w:rPr>
        <w:t>umplir con los esquemas de fertilización: 90</w:t>
      </w:r>
      <w:r>
        <w:rPr>
          <w:rFonts w:asciiTheme="minorHAnsi" w:hAnsiTheme="minorHAnsi" w:cstheme="minorHAnsi"/>
        </w:rPr>
        <w:t xml:space="preserve"> </w:t>
      </w:r>
      <w:r w:rsidR="00784BE0" w:rsidRPr="00784BE0">
        <w:rPr>
          <w:rFonts w:asciiTheme="minorHAnsi" w:hAnsiTheme="minorHAnsi" w:cstheme="minorHAnsi"/>
        </w:rPr>
        <w:t>kg de N para girasol; 170–180 kg de N para maíz, incluyendo azufre y zinc.</w:t>
      </w:r>
      <w:r>
        <w:rPr>
          <w:rFonts w:asciiTheme="minorHAnsi" w:hAnsiTheme="minorHAnsi" w:cstheme="minorHAnsi"/>
        </w:rPr>
        <w:t xml:space="preserve"> </w:t>
      </w:r>
      <w:r w:rsidR="00784BE0" w:rsidRPr="00784BE0">
        <w:rPr>
          <w:rFonts w:asciiTheme="minorHAnsi" w:hAnsiTheme="minorHAnsi" w:cstheme="minorHAnsi"/>
        </w:rPr>
        <w:t xml:space="preserve">Para soja, impulsar variedades </w:t>
      </w:r>
      <w:proofErr w:type="spellStart"/>
      <w:r>
        <w:rPr>
          <w:rFonts w:asciiTheme="minorHAnsi" w:hAnsiTheme="minorHAnsi" w:cstheme="minorHAnsi"/>
        </w:rPr>
        <w:t>Enlist</w:t>
      </w:r>
      <w:proofErr w:type="spellEnd"/>
      <w:r w:rsidR="00784BE0" w:rsidRPr="00784BE0">
        <w:rPr>
          <w:rFonts w:asciiTheme="minorHAnsi" w:hAnsiTheme="minorHAnsi" w:cstheme="minorHAnsi"/>
        </w:rPr>
        <w:t xml:space="preserve"> para </w:t>
      </w:r>
      <w:r>
        <w:rPr>
          <w:rFonts w:asciiTheme="minorHAnsi" w:hAnsiTheme="minorHAnsi" w:cstheme="minorHAnsi"/>
        </w:rPr>
        <w:t xml:space="preserve">un </w:t>
      </w:r>
      <w:r w:rsidR="00784BE0" w:rsidRPr="00784BE0">
        <w:rPr>
          <w:rFonts w:asciiTheme="minorHAnsi" w:hAnsiTheme="minorHAnsi" w:cstheme="minorHAnsi"/>
        </w:rPr>
        <w:t>control eficiente de malezas difíciles como yuyo colorado y rama negra, y reforzar la fertilización e inoculación, rubros donde “año a año aparecen mayores respuestas”.</w:t>
      </w:r>
    </w:p>
    <w:p w14:paraId="0428CBD2" w14:textId="6ABC9D8D" w:rsidR="00E52343" w:rsidRDefault="00E52343" w:rsidP="00D959E7">
      <w:pPr>
        <w:pStyle w:val="NormalWeb"/>
      </w:pPr>
      <w:r>
        <w:rPr>
          <w:rFonts w:asciiTheme="minorHAnsi" w:hAnsiTheme="minorHAnsi" w:cstheme="minorHAnsi"/>
        </w:rPr>
        <w:t xml:space="preserve">Como lo hace con cada cliente en el lote, Nidera volvió a acompañar a los productores en la toma de decisiones que van desde la elección de la semilla hasta la </w:t>
      </w:r>
      <w:r>
        <w:rPr>
          <w:rFonts w:asciiTheme="minorHAnsi" w:hAnsiTheme="minorHAnsi" w:cstheme="minorHAnsi"/>
        </w:rPr>
        <w:lastRenderedPageBreak/>
        <w:t xml:space="preserve">comercialización. La jornada Campo Líder realizada en Tandil </w:t>
      </w:r>
      <w:r w:rsidR="00F2781E">
        <w:rPr>
          <w:rFonts w:asciiTheme="minorHAnsi" w:hAnsiTheme="minorHAnsi" w:cstheme="minorHAnsi"/>
        </w:rPr>
        <w:t xml:space="preserve">es otro ejemplo del compromiso de la marca con la productividad. </w:t>
      </w:r>
    </w:p>
    <w:p w14:paraId="267376A9" w14:textId="77777777" w:rsidR="00CE4334" w:rsidRDefault="00CE4334"/>
    <w:sectPr w:rsidR="00CE43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C76E" w14:textId="77777777" w:rsidR="00AD11C5" w:rsidRDefault="00AD11C5" w:rsidP="00C642CF">
      <w:r>
        <w:separator/>
      </w:r>
    </w:p>
  </w:endnote>
  <w:endnote w:type="continuationSeparator" w:id="0">
    <w:p w14:paraId="701CD598" w14:textId="77777777" w:rsidR="00AD11C5" w:rsidRDefault="00AD11C5" w:rsidP="00C6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E243" w14:textId="77777777" w:rsidR="00143255" w:rsidRPr="00143255" w:rsidRDefault="00143255" w:rsidP="00143255">
    <w:pPr>
      <w:jc w:val="right"/>
      <w:rPr>
        <w:rFonts w:asciiTheme="majorHAnsi" w:hAnsiTheme="majorHAnsi" w:cstheme="majorHAnsi"/>
        <w:sz w:val="13"/>
        <w:szCs w:val="13"/>
        <w:lang w:val="es-ES"/>
      </w:rPr>
    </w:pPr>
    <w:r w:rsidRPr="00143255">
      <w:rPr>
        <w:rFonts w:asciiTheme="majorHAnsi" w:hAnsiTheme="majorHAnsi" w:cstheme="majorHAnsi"/>
        <w:sz w:val="13"/>
        <w:szCs w:val="13"/>
        <w:lang w:val="es-ES"/>
      </w:rPr>
      <w:t>Prensa: SAVIA Comunicación</w:t>
    </w:r>
  </w:p>
  <w:p w14:paraId="26AF81D5" w14:textId="3477094E" w:rsidR="00C642CF" w:rsidRPr="00143255" w:rsidRDefault="00143255" w:rsidP="00143255">
    <w:pPr>
      <w:jc w:val="right"/>
      <w:rPr>
        <w:rFonts w:asciiTheme="majorHAnsi" w:hAnsiTheme="majorHAnsi" w:cstheme="majorHAnsi"/>
        <w:sz w:val="13"/>
        <w:szCs w:val="13"/>
        <w:lang w:val="es-ES"/>
      </w:rPr>
    </w:pPr>
    <w:r w:rsidRPr="00143255">
      <w:rPr>
        <w:rFonts w:asciiTheme="majorHAnsi" w:hAnsiTheme="majorHAnsi" w:cstheme="majorHAnsi"/>
        <w:sz w:val="13"/>
        <w:szCs w:val="13"/>
        <w:lang w:val="es-ES"/>
      </w:rPr>
      <w:t>+54 9 11 6967 2255</w:t>
    </w:r>
    <w:r>
      <w:rPr>
        <w:rFonts w:asciiTheme="majorHAnsi" w:hAnsiTheme="majorHAnsi" w:cstheme="majorHAnsi"/>
        <w:sz w:val="13"/>
        <w:szCs w:val="13"/>
        <w:lang w:val="es-ES"/>
      </w:rPr>
      <w:t xml:space="preserve"> +54 9 11 6052 0241</w:t>
    </w:r>
    <w:r w:rsidRPr="00143255">
      <w:rPr>
        <w:rFonts w:asciiTheme="majorHAnsi" w:hAnsiTheme="majorHAnsi" w:cstheme="majorHAnsi"/>
        <w:sz w:val="13"/>
        <w:szCs w:val="13"/>
        <w:lang w:val="es-ES"/>
      </w:rPr>
      <w:br/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4AB0" w14:textId="77777777" w:rsidR="00AD11C5" w:rsidRDefault="00AD11C5" w:rsidP="00C642CF">
      <w:r>
        <w:separator/>
      </w:r>
    </w:p>
  </w:footnote>
  <w:footnote w:type="continuationSeparator" w:id="0">
    <w:p w14:paraId="5052030F" w14:textId="77777777" w:rsidR="00AD11C5" w:rsidRDefault="00AD11C5" w:rsidP="00C6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49BF" w14:textId="77777777" w:rsidR="00C642CF" w:rsidRDefault="00C642CF" w:rsidP="00C642CF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5CFE3F62" wp14:editId="7FE9F831">
          <wp:extent cx="1175646" cy="1093862"/>
          <wp:effectExtent l="0" t="0" r="5715" b="0"/>
          <wp:docPr id="1009007462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501" cy="11123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22E1C0" w14:textId="77777777" w:rsidR="00C642CF" w:rsidRDefault="00C642CF" w:rsidP="00C642C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452"/>
    <w:multiLevelType w:val="multilevel"/>
    <w:tmpl w:val="16A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D2FC7"/>
    <w:multiLevelType w:val="multilevel"/>
    <w:tmpl w:val="45EE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8415E"/>
    <w:multiLevelType w:val="multilevel"/>
    <w:tmpl w:val="D8E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37C74"/>
    <w:multiLevelType w:val="multilevel"/>
    <w:tmpl w:val="6CC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20379"/>
    <w:multiLevelType w:val="multilevel"/>
    <w:tmpl w:val="ABA8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B67EC"/>
    <w:multiLevelType w:val="multilevel"/>
    <w:tmpl w:val="139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A1F46"/>
    <w:multiLevelType w:val="multilevel"/>
    <w:tmpl w:val="EF9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F5419"/>
    <w:multiLevelType w:val="hybridMultilevel"/>
    <w:tmpl w:val="14E637DE"/>
    <w:lvl w:ilvl="0" w:tplc="AEA20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47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0E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60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62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AA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E8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44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A7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C21799"/>
    <w:multiLevelType w:val="multilevel"/>
    <w:tmpl w:val="F91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15574"/>
    <w:multiLevelType w:val="multilevel"/>
    <w:tmpl w:val="181C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96D6E"/>
    <w:multiLevelType w:val="multilevel"/>
    <w:tmpl w:val="C5A4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37264"/>
    <w:multiLevelType w:val="multilevel"/>
    <w:tmpl w:val="5EB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E6A69"/>
    <w:multiLevelType w:val="hybridMultilevel"/>
    <w:tmpl w:val="38266E0E"/>
    <w:lvl w:ilvl="0" w:tplc="66789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A6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EC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86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4F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EE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0E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2B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2F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18277C"/>
    <w:multiLevelType w:val="hybridMultilevel"/>
    <w:tmpl w:val="EF043242"/>
    <w:lvl w:ilvl="0" w:tplc="849CD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84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A3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5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C8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09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C6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E8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81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7A012E"/>
    <w:multiLevelType w:val="multilevel"/>
    <w:tmpl w:val="D76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040760">
    <w:abstractNumId w:val="12"/>
  </w:num>
  <w:num w:numId="2" w16cid:durableId="463668656">
    <w:abstractNumId w:val="7"/>
  </w:num>
  <w:num w:numId="3" w16cid:durableId="885064451">
    <w:abstractNumId w:val="13"/>
  </w:num>
  <w:num w:numId="4" w16cid:durableId="1342704628">
    <w:abstractNumId w:val="8"/>
  </w:num>
  <w:num w:numId="5" w16cid:durableId="266231818">
    <w:abstractNumId w:val="10"/>
  </w:num>
  <w:num w:numId="6" w16cid:durableId="1463844345">
    <w:abstractNumId w:val="2"/>
  </w:num>
  <w:num w:numId="7" w16cid:durableId="318046366">
    <w:abstractNumId w:val="5"/>
  </w:num>
  <w:num w:numId="8" w16cid:durableId="2064207523">
    <w:abstractNumId w:val="9"/>
  </w:num>
  <w:num w:numId="9" w16cid:durableId="1032653902">
    <w:abstractNumId w:val="0"/>
  </w:num>
  <w:num w:numId="10" w16cid:durableId="1662850146">
    <w:abstractNumId w:val="3"/>
  </w:num>
  <w:num w:numId="11" w16cid:durableId="478035344">
    <w:abstractNumId w:val="11"/>
  </w:num>
  <w:num w:numId="12" w16cid:durableId="1347826031">
    <w:abstractNumId w:val="14"/>
  </w:num>
  <w:num w:numId="13" w16cid:durableId="1126896815">
    <w:abstractNumId w:val="4"/>
  </w:num>
  <w:num w:numId="14" w16cid:durableId="1574655149">
    <w:abstractNumId w:val="1"/>
  </w:num>
  <w:num w:numId="15" w16cid:durableId="1650135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5D"/>
    <w:rsid w:val="000D42F2"/>
    <w:rsid w:val="000D5298"/>
    <w:rsid w:val="00110E5D"/>
    <w:rsid w:val="00143255"/>
    <w:rsid w:val="00154B0C"/>
    <w:rsid w:val="001B4531"/>
    <w:rsid w:val="001D0B04"/>
    <w:rsid w:val="001D7848"/>
    <w:rsid w:val="001E0317"/>
    <w:rsid w:val="001E1B88"/>
    <w:rsid w:val="002238CF"/>
    <w:rsid w:val="00254C78"/>
    <w:rsid w:val="00267A38"/>
    <w:rsid w:val="00271B46"/>
    <w:rsid w:val="00272003"/>
    <w:rsid w:val="00277968"/>
    <w:rsid w:val="002B1134"/>
    <w:rsid w:val="002F5F01"/>
    <w:rsid w:val="00340884"/>
    <w:rsid w:val="00346B29"/>
    <w:rsid w:val="00377149"/>
    <w:rsid w:val="00392283"/>
    <w:rsid w:val="00412C55"/>
    <w:rsid w:val="00461A9C"/>
    <w:rsid w:val="0047045A"/>
    <w:rsid w:val="004E386D"/>
    <w:rsid w:val="004E57E1"/>
    <w:rsid w:val="0051247F"/>
    <w:rsid w:val="0051442E"/>
    <w:rsid w:val="005277FC"/>
    <w:rsid w:val="0055396C"/>
    <w:rsid w:val="005D53A5"/>
    <w:rsid w:val="005F4668"/>
    <w:rsid w:val="00600895"/>
    <w:rsid w:val="006A5D8E"/>
    <w:rsid w:val="006A74FE"/>
    <w:rsid w:val="006E5FB6"/>
    <w:rsid w:val="0073675B"/>
    <w:rsid w:val="007456F8"/>
    <w:rsid w:val="0078256A"/>
    <w:rsid w:val="00784BE0"/>
    <w:rsid w:val="007B5ADB"/>
    <w:rsid w:val="00955EE1"/>
    <w:rsid w:val="009C3397"/>
    <w:rsid w:val="009C3925"/>
    <w:rsid w:val="00A012D6"/>
    <w:rsid w:val="00AD11C5"/>
    <w:rsid w:val="00B024B6"/>
    <w:rsid w:val="00BB1C42"/>
    <w:rsid w:val="00BC07DC"/>
    <w:rsid w:val="00BC575D"/>
    <w:rsid w:val="00C276C5"/>
    <w:rsid w:val="00C57762"/>
    <w:rsid w:val="00C642CF"/>
    <w:rsid w:val="00C833A4"/>
    <w:rsid w:val="00C967B8"/>
    <w:rsid w:val="00CB616C"/>
    <w:rsid w:val="00CE4334"/>
    <w:rsid w:val="00D071D7"/>
    <w:rsid w:val="00D959E7"/>
    <w:rsid w:val="00DD1BD8"/>
    <w:rsid w:val="00DF1303"/>
    <w:rsid w:val="00E25A1F"/>
    <w:rsid w:val="00E31DBC"/>
    <w:rsid w:val="00E4575F"/>
    <w:rsid w:val="00E52343"/>
    <w:rsid w:val="00EE648C"/>
    <w:rsid w:val="00F16627"/>
    <w:rsid w:val="00F2781E"/>
    <w:rsid w:val="00F31124"/>
    <w:rsid w:val="00F6057B"/>
    <w:rsid w:val="00F76934"/>
    <w:rsid w:val="00FE21C6"/>
    <w:rsid w:val="02771EF5"/>
    <w:rsid w:val="03E1AD84"/>
    <w:rsid w:val="04798F4D"/>
    <w:rsid w:val="058B85AA"/>
    <w:rsid w:val="07378B78"/>
    <w:rsid w:val="0A34938D"/>
    <w:rsid w:val="0A952AF3"/>
    <w:rsid w:val="0B4FE187"/>
    <w:rsid w:val="0BAD9200"/>
    <w:rsid w:val="0D4EF410"/>
    <w:rsid w:val="0E079B65"/>
    <w:rsid w:val="0E406D28"/>
    <w:rsid w:val="0E957517"/>
    <w:rsid w:val="11C4E701"/>
    <w:rsid w:val="125A077A"/>
    <w:rsid w:val="13BC5776"/>
    <w:rsid w:val="19DD17E1"/>
    <w:rsid w:val="1A92C264"/>
    <w:rsid w:val="1ED2CF4C"/>
    <w:rsid w:val="238EF0AD"/>
    <w:rsid w:val="2412B6FE"/>
    <w:rsid w:val="250ABAF3"/>
    <w:rsid w:val="262FE6B8"/>
    <w:rsid w:val="277EA1E6"/>
    <w:rsid w:val="279A9E77"/>
    <w:rsid w:val="2A2AE985"/>
    <w:rsid w:val="2B066E10"/>
    <w:rsid w:val="2CBD2A2C"/>
    <w:rsid w:val="2E062941"/>
    <w:rsid w:val="2F1EFDB2"/>
    <w:rsid w:val="3564A7DF"/>
    <w:rsid w:val="358B61CC"/>
    <w:rsid w:val="36ADAF9F"/>
    <w:rsid w:val="37467F82"/>
    <w:rsid w:val="379FB821"/>
    <w:rsid w:val="3E78867E"/>
    <w:rsid w:val="4192A17A"/>
    <w:rsid w:val="42DE92DC"/>
    <w:rsid w:val="4552A974"/>
    <w:rsid w:val="456B0237"/>
    <w:rsid w:val="45EF3F8D"/>
    <w:rsid w:val="46D4B95F"/>
    <w:rsid w:val="4CC6E0C1"/>
    <w:rsid w:val="4E74D7A3"/>
    <w:rsid w:val="4FAE8AB6"/>
    <w:rsid w:val="51CCC2EF"/>
    <w:rsid w:val="51D3F462"/>
    <w:rsid w:val="544B7CED"/>
    <w:rsid w:val="58ECB529"/>
    <w:rsid w:val="5CCD620B"/>
    <w:rsid w:val="5E0DA3BC"/>
    <w:rsid w:val="5FFDC55C"/>
    <w:rsid w:val="6171526F"/>
    <w:rsid w:val="6190488E"/>
    <w:rsid w:val="658E1639"/>
    <w:rsid w:val="66537045"/>
    <w:rsid w:val="66D80BF9"/>
    <w:rsid w:val="6D21B86C"/>
    <w:rsid w:val="716D016D"/>
    <w:rsid w:val="7265A449"/>
    <w:rsid w:val="728BF101"/>
    <w:rsid w:val="7339D72B"/>
    <w:rsid w:val="75B934B6"/>
    <w:rsid w:val="75E753A9"/>
    <w:rsid w:val="762DFAC9"/>
    <w:rsid w:val="767B00F8"/>
    <w:rsid w:val="798D9C54"/>
    <w:rsid w:val="7B3AE140"/>
    <w:rsid w:val="7B447AA0"/>
    <w:rsid w:val="7C658CE0"/>
    <w:rsid w:val="7DC73D7A"/>
    <w:rsid w:val="7FA3AB8B"/>
    <w:rsid w:val="7FA59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804A"/>
  <w15:chartTrackingRefBased/>
  <w15:docId w15:val="{F46109CE-BC7A-4BC7-B009-7424F3BE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34"/>
    <w:pPr>
      <w:spacing w:after="0" w:line="240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0E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0E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0E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E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E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E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E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E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E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1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10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E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E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E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E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E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E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E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E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0E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E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0E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E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E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642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642CF"/>
  </w:style>
  <w:style w:type="paragraph" w:styleId="Piedepgina">
    <w:name w:val="footer"/>
    <w:basedOn w:val="Normal"/>
    <w:link w:val="PiedepginaCar"/>
    <w:uiPriority w:val="99"/>
    <w:unhideWhenUsed/>
    <w:rsid w:val="00C642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42CF"/>
  </w:style>
  <w:style w:type="character" w:styleId="Refdecomentario">
    <w:name w:val="annotation reference"/>
    <w:basedOn w:val="Fuentedeprrafopredeter"/>
    <w:uiPriority w:val="99"/>
    <w:semiHidden/>
    <w:unhideWhenUsed/>
    <w:rsid w:val="002F5F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F5F0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F5F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F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F0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346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E4334"/>
    <w:rPr>
      <w:b/>
      <w:bCs/>
    </w:rPr>
  </w:style>
  <w:style w:type="paragraph" w:styleId="NormalWeb">
    <w:name w:val="Normal (Web)"/>
    <w:basedOn w:val="Normal"/>
    <w:uiPriority w:val="99"/>
    <w:unhideWhenUsed/>
    <w:rsid w:val="00CE4334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84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7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006307-e4a9-430f-af16-eea280431306}" enabled="1" method="Standard" siteId="{06219a4a-a835-44d5-afaf-3926343bfb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2025-11-25T22:37:00Z</dcterms:created>
  <dcterms:modified xsi:type="dcterms:W3CDTF">2025-11-27T13:30:00Z</dcterms:modified>
</cp:coreProperties>
</file>