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853A" w14:textId="77777777" w:rsidR="00BC50BD" w:rsidRPr="002F40DD" w:rsidRDefault="00BC50BD" w:rsidP="00BC50BD">
      <w:pPr>
        <w:rPr>
          <w:b/>
          <w:bCs/>
          <w:color w:val="000000"/>
          <w:sz w:val="32"/>
          <w:szCs w:val="32"/>
        </w:rPr>
      </w:pPr>
      <w:r w:rsidRPr="002F40DD">
        <w:rPr>
          <w:b/>
          <w:bCs/>
          <w:color w:val="000000"/>
          <w:sz w:val="32"/>
          <w:szCs w:val="32"/>
        </w:rPr>
        <w:t>Nidera anticipa una campaña de trigo en la que el desafío no será solo producir más, sino tomar mejores decisiones</w:t>
      </w:r>
    </w:p>
    <w:p w14:paraId="3FBFE4FA" w14:textId="77777777" w:rsidR="00BC50BD" w:rsidRPr="002F40DD" w:rsidRDefault="00BC50BD" w:rsidP="00BC50BD">
      <w:pPr>
        <w:rPr>
          <w:i/>
          <w:iCs/>
          <w:color w:val="000000"/>
          <w:sz w:val="22"/>
          <w:szCs w:val="22"/>
        </w:rPr>
      </w:pPr>
      <w:r w:rsidRPr="002F40DD">
        <w:rPr>
          <w:i/>
          <w:iCs/>
          <w:color w:val="000000"/>
          <w:sz w:val="22"/>
          <w:szCs w:val="22"/>
        </w:rPr>
        <w:t>Con un escenario climático favorable, Nidera lanzó su campaña 2026 con foco en genética, manejo y calidad de semilla.</w:t>
      </w:r>
    </w:p>
    <w:p w14:paraId="3FC01BAB" w14:textId="77777777" w:rsidR="00BC50BD" w:rsidRPr="00824588" w:rsidRDefault="00BC50BD" w:rsidP="00BC50BD">
      <w:pPr>
        <w:rPr>
          <w:color w:val="000000"/>
          <w:sz w:val="22"/>
          <w:szCs w:val="22"/>
        </w:rPr>
      </w:pPr>
      <w:r w:rsidRPr="40C38057">
        <w:rPr>
          <w:color w:val="000000" w:themeColor="text1"/>
          <w:sz w:val="22"/>
          <w:szCs w:val="22"/>
        </w:rPr>
        <w:t xml:space="preserve">Más allá de las coyunturas, el trigo siempre es protagonista. Recientemente, Nidera Semillas reunió a su Red de Multiplicadores y distribuidores (RED-IN) para presentar los lineamientos de cara a la nueva campaña de fina. El mensaje: comienza un ciclo que nos exige estar despiertos y acompañar a los productores en la toma de buenas decisiones. </w:t>
      </w:r>
    </w:p>
    <w:p w14:paraId="47F24896" w14:textId="77777777" w:rsidR="00BC50BD" w:rsidRPr="00824588" w:rsidRDefault="00BC50BD" w:rsidP="00BC50BD">
      <w:pPr>
        <w:rPr>
          <w:color w:val="000000"/>
          <w:sz w:val="22"/>
          <w:szCs w:val="22"/>
        </w:rPr>
      </w:pPr>
      <w:r w:rsidRPr="00824588">
        <w:rPr>
          <w:color w:val="000000"/>
          <w:sz w:val="22"/>
          <w:szCs w:val="22"/>
        </w:rPr>
        <w:t xml:space="preserve">El punto de partida es climático. Los perfiles hídricos actuales muestran similitudes con los del ciclo anterior y los principales modelos internacionales coinciden en una transición hacia condiciones neutrales-cálidas, con tendencia a un evento Niño débil durante el invierno y posible intensificación hacia la primavera. En ese marco, desde la </w:t>
      </w:r>
      <w:r>
        <w:rPr>
          <w:color w:val="000000"/>
          <w:sz w:val="22"/>
          <w:szCs w:val="22"/>
        </w:rPr>
        <w:t>marca líder en trigo</w:t>
      </w:r>
      <w:r w:rsidRPr="00824588">
        <w:rPr>
          <w:color w:val="000000"/>
          <w:sz w:val="22"/>
          <w:szCs w:val="22"/>
        </w:rPr>
        <w:t xml:space="preserve"> destacan que</w:t>
      </w:r>
      <w:r>
        <w:rPr>
          <w:color w:val="000000"/>
          <w:sz w:val="22"/>
          <w:szCs w:val="22"/>
        </w:rPr>
        <w:t xml:space="preserve"> </w:t>
      </w:r>
      <w:r w:rsidRPr="00824588">
        <w:rPr>
          <w:color w:val="000000"/>
          <w:sz w:val="22"/>
          <w:szCs w:val="22"/>
        </w:rPr>
        <w:t xml:space="preserve">la primera foto permite ser optimistas. </w:t>
      </w:r>
    </w:p>
    <w:p w14:paraId="34D777B0" w14:textId="77777777" w:rsidR="00BC50BD" w:rsidRPr="00824588" w:rsidRDefault="00BC50BD" w:rsidP="00BC50BD">
      <w:r w:rsidRPr="40C38057">
        <w:rPr>
          <w:color w:val="000000" w:themeColor="text1"/>
          <w:sz w:val="22"/>
          <w:szCs w:val="22"/>
        </w:rPr>
        <w:t xml:space="preserve">La clave, como siempre, pero especialmente este año, radica en tratar de capturar el máximo potencial de rinde. ¿Cómo? Volviendo a decisiones agronómicas ajustadas: respetar las fechas óptimas de siembra para cada variedad y acompañar cada planteo con una estrategia nutricional acorde al ambiente. A esto se suma un punto clave: la sanidad. Con una primavera que podría presentarse más húmeda, el monitoreo y la elección de materiales con buen comportamiento sanitario vuelven a ocupar un rol central dentro de la estrategia productiva. </w:t>
      </w:r>
    </w:p>
    <w:p w14:paraId="49176292" w14:textId="77777777" w:rsidR="00BC50BD" w:rsidRPr="0085409C" w:rsidRDefault="00BC50BD" w:rsidP="00BC50BD">
      <w:pPr>
        <w:rPr>
          <w:b/>
          <w:bCs/>
          <w:color w:val="000000"/>
          <w:sz w:val="22"/>
          <w:szCs w:val="22"/>
        </w:rPr>
      </w:pPr>
      <w:r w:rsidRPr="0085409C">
        <w:rPr>
          <w:b/>
          <w:bCs/>
          <w:color w:val="000000"/>
          <w:sz w:val="22"/>
          <w:szCs w:val="22"/>
        </w:rPr>
        <w:t xml:space="preserve">Nueva genética </w:t>
      </w:r>
    </w:p>
    <w:p w14:paraId="212D4765" w14:textId="77777777" w:rsidR="00BC50BD" w:rsidRPr="00824588" w:rsidRDefault="00BC50BD" w:rsidP="00BC50BD">
      <w:pPr>
        <w:rPr>
          <w:color w:val="000000"/>
          <w:sz w:val="22"/>
          <w:szCs w:val="22"/>
        </w:rPr>
      </w:pPr>
      <w:r w:rsidRPr="40C38057">
        <w:rPr>
          <w:color w:val="000000" w:themeColor="text1"/>
          <w:sz w:val="22"/>
          <w:szCs w:val="22"/>
        </w:rPr>
        <w:t>En este contexto, Nidera presentó una de sus principales novedades: una nueva variedad de ciclo corto-intermedio —aún en proceso de denominación— que estará disponible para los multiplicadores en esta campaña y llega para ampliar las opciones del productor para este ciclo.</w:t>
      </w:r>
    </w:p>
    <w:p w14:paraId="6118A4B0" w14:textId="77777777" w:rsidR="00BC50BD" w:rsidRDefault="00BC50BD" w:rsidP="00BC50BD">
      <w:pPr>
        <w:rPr>
          <w:color w:val="000000"/>
          <w:sz w:val="22"/>
          <w:szCs w:val="22"/>
        </w:rPr>
      </w:pPr>
      <w:r w:rsidRPr="00824588">
        <w:rPr>
          <w:color w:val="000000"/>
          <w:sz w:val="22"/>
          <w:szCs w:val="22"/>
        </w:rPr>
        <w:t xml:space="preserve">Se trata de un material con alto potencial de rendimiento, buen perfil sanitario y </w:t>
      </w:r>
      <w:r>
        <w:rPr>
          <w:color w:val="000000"/>
          <w:sz w:val="22"/>
          <w:szCs w:val="22"/>
        </w:rPr>
        <w:t>calidad 2</w:t>
      </w:r>
      <w:r w:rsidRPr="00824588">
        <w:rPr>
          <w:color w:val="000000"/>
          <w:sz w:val="22"/>
          <w:szCs w:val="22"/>
        </w:rPr>
        <w:t xml:space="preserve">, adaptable a diferentes ambientes de la región triguera. Los datos de ensayos muestran diferencias contundentes: hasta 600 kilos por hectárea por encima de testigos de mercado, con resultados consistentes en la mayoría de las evaluaciones. </w:t>
      </w:r>
      <w:r w:rsidRPr="00A70964">
        <w:rPr>
          <w:color w:val="000000"/>
          <w:sz w:val="22"/>
          <w:szCs w:val="22"/>
        </w:rPr>
        <w:t>En lo que es perfil sanitario de la variedad, tiene un comportamiento excelente para roya amarilla y roya anaranjada, y muy bueno para roya negra o roya de tallo y mancha amarilla.</w:t>
      </w:r>
    </w:p>
    <w:p w14:paraId="0972DA38" w14:textId="77777777" w:rsidR="00BC50BD" w:rsidRDefault="00BC50BD" w:rsidP="00BC50BD">
      <w:pPr>
        <w:rPr>
          <w:color w:val="000000"/>
          <w:sz w:val="22"/>
          <w:szCs w:val="22"/>
        </w:rPr>
      </w:pPr>
      <w:r w:rsidRPr="00824588">
        <w:rPr>
          <w:color w:val="000000"/>
          <w:sz w:val="22"/>
          <w:szCs w:val="22"/>
        </w:rPr>
        <w:t xml:space="preserve">Detrás de este lanzamiento hay un trabajo sostenido de desarrollo, basado en una red de ensayos a nivel nacional que permite evaluar el comportamiento de los materiales en múltiples ambientes. Cada nueva variedad es el resultado de un proceso de selección progresivo, donde cientos de materiales se reducen hasta llegar a aquellos que combinan rendimiento, estabilidad y adaptación. </w:t>
      </w:r>
    </w:p>
    <w:p w14:paraId="162A4780" w14:textId="77777777" w:rsidR="00BC50BD" w:rsidRPr="00824588" w:rsidRDefault="00BC50BD" w:rsidP="00BC50BD">
      <w:pPr>
        <w:rPr>
          <w:color w:val="000000"/>
          <w:sz w:val="22"/>
          <w:szCs w:val="22"/>
        </w:rPr>
      </w:pPr>
    </w:p>
    <w:p w14:paraId="6F05B2F8" w14:textId="77777777" w:rsidR="00BC50BD" w:rsidRPr="0085409C" w:rsidRDefault="00BC50BD" w:rsidP="00BC50BD">
      <w:pPr>
        <w:rPr>
          <w:b/>
          <w:bCs/>
          <w:color w:val="000000"/>
          <w:sz w:val="22"/>
          <w:szCs w:val="22"/>
        </w:rPr>
      </w:pPr>
      <w:r w:rsidRPr="0085409C">
        <w:rPr>
          <w:b/>
          <w:bCs/>
          <w:color w:val="000000"/>
          <w:sz w:val="22"/>
          <w:szCs w:val="22"/>
        </w:rPr>
        <w:lastRenderedPageBreak/>
        <w:t xml:space="preserve">Datos que respaldan </w:t>
      </w:r>
    </w:p>
    <w:p w14:paraId="48AFBA25" w14:textId="77777777" w:rsidR="00BC50BD" w:rsidRPr="00824588" w:rsidRDefault="00BC50BD" w:rsidP="00BC50BD">
      <w:pPr>
        <w:rPr>
          <w:color w:val="000000"/>
          <w:sz w:val="22"/>
          <w:szCs w:val="22"/>
        </w:rPr>
      </w:pPr>
      <w:r w:rsidRPr="00824588">
        <w:rPr>
          <w:color w:val="000000"/>
          <w:sz w:val="22"/>
          <w:szCs w:val="22"/>
        </w:rPr>
        <w:t>Además de los lanzamientos,</w:t>
      </w:r>
      <w:r>
        <w:rPr>
          <w:color w:val="000000"/>
          <w:sz w:val="22"/>
          <w:szCs w:val="22"/>
        </w:rPr>
        <w:t xml:space="preserve"> los especialistas de Nidera repasaron los </w:t>
      </w:r>
      <w:r w:rsidRPr="00824588">
        <w:rPr>
          <w:color w:val="000000"/>
          <w:sz w:val="22"/>
          <w:szCs w:val="22"/>
        </w:rPr>
        <w:t xml:space="preserve">resultados </w:t>
      </w:r>
      <w:r>
        <w:rPr>
          <w:color w:val="000000"/>
          <w:sz w:val="22"/>
          <w:szCs w:val="22"/>
        </w:rPr>
        <w:t xml:space="preserve">que mantienen el liderazgo de la </w:t>
      </w:r>
      <w:r w:rsidRPr="00824588">
        <w:rPr>
          <w:color w:val="000000"/>
          <w:sz w:val="22"/>
          <w:szCs w:val="22"/>
        </w:rPr>
        <w:t xml:space="preserve">genética </w:t>
      </w:r>
      <w:r>
        <w:rPr>
          <w:color w:val="000000"/>
          <w:sz w:val="22"/>
          <w:szCs w:val="22"/>
        </w:rPr>
        <w:t>Baguette. D</w:t>
      </w:r>
      <w:r w:rsidRPr="00824588">
        <w:rPr>
          <w:color w:val="000000"/>
          <w:sz w:val="22"/>
          <w:szCs w:val="22"/>
        </w:rPr>
        <w:t xml:space="preserve">estacaron el desempeño de Baguette 610, que en más de 200 comparaciones realizadas durante las últimas campañas mostró una ventaja promedio de 130 kilos por hectárea respecto a Baguette 620, manteniendo al mismo tiempo un alto nivel de calidad panadera, incluso en ambientes de alto rendimiento. </w:t>
      </w:r>
      <w:r>
        <w:rPr>
          <w:color w:val="000000"/>
          <w:sz w:val="22"/>
          <w:szCs w:val="22"/>
        </w:rPr>
        <w:br/>
      </w:r>
      <w:r>
        <w:rPr>
          <w:color w:val="000000"/>
          <w:sz w:val="22"/>
          <w:szCs w:val="22"/>
        </w:rPr>
        <w:br/>
      </w:r>
      <w:r w:rsidRPr="00824588">
        <w:rPr>
          <w:color w:val="000000"/>
          <w:sz w:val="22"/>
          <w:szCs w:val="22"/>
        </w:rPr>
        <w:t>Este tipo de información, señalan, es clave para la toma de decisiones en un contexto donde el rendimiento ya no es el único indicador relevante, sino que debe integrarse con calidad y estabilidad.</w:t>
      </w:r>
    </w:p>
    <w:p w14:paraId="18850692" w14:textId="77777777" w:rsidR="00BC50BD" w:rsidRDefault="00BC50BD" w:rsidP="00BC50BD">
      <w:pPr>
        <w:rPr>
          <w:color w:val="000000"/>
          <w:sz w:val="22"/>
          <w:szCs w:val="22"/>
        </w:rPr>
      </w:pPr>
      <w:r w:rsidRPr="40C38057">
        <w:rPr>
          <w:color w:val="000000" w:themeColor="text1"/>
          <w:sz w:val="22"/>
          <w:szCs w:val="22"/>
        </w:rPr>
        <w:t xml:space="preserve">Vale citar que en los ensayos de CREA Mar y Sierras, Baguette 610 presentó un 7% más de rendimiento promedio que el resto de los materiales que integran la red, logrando un segundo puesto. </w:t>
      </w:r>
    </w:p>
    <w:p w14:paraId="4259BC72" w14:textId="77777777" w:rsidR="00BC50BD" w:rsidRDefault="00BC50BD" w:rsidP="00BC50BD">
      <w:pPr>
        <w:rPr>
          <w:color w:val="000000" w:themeColor="text1"/>
          <w:sz w:val="22"/>
          <w:szCs w:val="22"/>
        </w:rPr>
      </w:pPr>
      <w:r w:rsidRPr="40C38057">
        <w:rPr>
          <w:color w:val="000000" w:themeColor="text1"/>
          <w:sz w:val="22"/>
          <w:szCs w:val="22"/>
        </w:rPr>
        <w:t>Es importante destacar que Baguette 610 forma parte de un amplio portfolio de productos entre los que se destacan variedades de ciclo corto como Baguette 460, corto-intermedio como Baguette 525, intermedios como Baguette 620, intermedio-largo como Baguette 750 y largos como Baguette 820.</w:t>
      </w:r>
    </w:p>
    <w:p w14:paraId="079F3E1B" w14:textId="77777777" w:rsidR="00BC50BD" w:rsidRPr="007C0986" w:rsidRDefault="00BC50BD" w:rsidP="00BC50BD">
      <w:pPr>
        <w:rPr>
          <w:b/>
          <w:bCs/>
          <w:color w:val="000000"/>
          <w:sz w:val="22"/>
          <w:szCs w:val="22"/>
        </w:rPr>
      </w:pPr>
      <w:r w:rsidRPr="007C0986">
        <w:rPr>
          <w:b/>
          <w:bCs/>
          <w:color w:val="000000"/>
          <w:sz w:val="22"/>
          <w:szCs w:val="22"/>
        </w:rPr>
        <w:t>Gran apuesta a la calidad</w:t>
      </w:r>
    </w:p>
    <w:p w14:paraId="031E3960" w14:textId="77777777" w:rsidR="00BC50BD" w:rsidRPr="007C0986" w:rsidRDefault="00BC50BD" w:rsidP="00BC50BD">
      <w:pPr>
        <w:rPr>
          <w:color w:val="000000"/>
          <w:sz w:val="22"/>
          <w:szCs w:val="22"/>
        </w:rPr>
      </w:pPr>
      <w:r w:rsidRPr="007C0986">
        <w:rPr>
          <w:color w:val="000000"/>
          <w:sz w:val="22"/>
          <w:szCs w:val="22"/>
        </w:rPr>
        <w:t xml:space="preserve">El tratamiento profesional de semillas es otro de los agregados de valor que aporta Nidera a su red comercial, y a los productores. Toda la red de multiplicadores cuenta con semillas tratadas y con estándares de calidad que permiten arrancar con todo el ciclo productivo. A su vez, la marca está trabajando con una red de 25 laboratorios para el control de embolsado donde se miden una serie de variables, incluso niveles de almidón. </w:t>
      </w:r>
    </w:p>
    <w:p w14:paraId="398BC7C1" w14:textId="77777777" w:rsidR="00BC50BD" w:rsidRPr="00824588" w:rsidRDefault="00BC50BD" w:rsidP="00BC50BD">
      <w:pPr>
        <w:rPr>
          <w:color w:val="000000"/>
          <w:sz w:val="22"/>
          <w:szCs w:val="22"/>
        </w:rPr>
      </w:pPr>
      <w:r w:rsidRPr="40C38057">
        <w:rPr>
          <w:color w:val="000000" w:themeColor="text1"/>
          <w:sz w:val="22"/>
          <w:szCs w:val="22"/>
        </w:rPr>
        <w:t>En línea con la calidad de las semillas que Nidera introduce al mercado, otro de los ejes destacados del encuentro fue el crecimiento del sistema de reconocimiento de genética, que ya supera las 400.000 hectáreas de trigo bajo este modelo y cuenta con más de 10.000 productores adheridos.</w:t>
      </w:r>
    </w:p>
    <w:p w14:paraId="427B1394" w14:textId="77777777" w:rsidR="00BC50BD" w:rsidRPr="00824588" w:rsidRDefault="00BC50BD" w:rsidP="00BC50BD">
      <w:pPr>
        <w:rPr>
          <w:color w:val="000000"/>
          <w:sz w:val="22"/>
          <w:szCs w:val="22"/>
        </w:rPr>
      </w:pPr>
      <w:r w:rsidRPr="00824588">
        <w:rPr>
          <w:color w:val="000000"/>
          <w:sz w:val="22"/>
          <w:szCs w:val="22"/>
        </w:rPr>
        <w:t xml:space="preserve">Desde </w:t>
      </w:r>
      <w:r>
        <w:rPr>
          <w:color w:val="000000"/>
          <w:sz w:val="22"/>
          <w:szCs w:val="22"/>
        </w:rPr>
        <w:t xml:space="preserve">Nidera </w:t>
      </w:r>
      <w:r w:rsidRPr="00824588">
        <w:rPr>
          <w:color w:val="000000"/>
          <w:sz w:val="22"/>
          <w:szCs w:val="22"/>
        </w:rPr>
        <w:t xml:space="preserve">remarcan que este esquema no solo permite sostener la inversión en innovación, sino también promueve el uso de semilla fiscalizada, un factor determinante para mejorar la productividad del sistema en su conjunto. </w:t>
      </w:r>
    </w:p>
    <w:p w14:paraId="06AAE4CB" w14:textId="77777777" w:rsidR="00BC50BD" w:rsidRDefault="00BC50BD" w:rsidP="00BC50BD">
      <w:pPr>
        <w:rPr>
          <w:color w:val="000000"/>
          <w:sz w:val="22"/>
          <w:szCs w:val="22"/>
        </w:rPr>
      </w:pPr>
      <w:r w:rsidRPr="40C38057">
        <w:rPr>
          <w:color w:val="000000" w:themeColor="text1"/>
          <w:sz w:val="22"/>
          <w:szCs w:val="22"/>
        </w:rPr>
        <w:t xml:space="preserve">El vínculo construido con su red de multiplicadores y distribuidores a lo largo de más de 25 años, atravesando tanto campañas difíciles como ciclos de alta productividad, es otro de los grandes valores de la marca. “Siempre apostamos al trigo. Y lo seguimos haciendo junto a ustedes”, sintetizaron durante el lanzamiento de la campaña de trigo 2026. </w:t>
      </w:r>
    </w:p>
    <w:p w14:paraId="6517F2EC" w14:textId="77777777" w:rsidR="00BC50BD" w:rsidRDefault="00BC50BD" w:rsidP="00BC50BD">
      <w:pPr>
        <w:rPr>
          <w:b/>
          <w:bCs/>
          <w:i/>
          <w:iCs/>
          <w:color w:val="000000"/>
          <w:sz w:val="22"/>
          <w:szCs w:val="22"/>
        </w:rPr>
      </w:pPr>
    </w:p>
    <w:p w14:paraId="62CF23E5" w14:textId="77777777" w:rsidR="00BC50BD" w:rsidRDefault="00BC50BD" w:rsidP="00BC50BD">
      <w:pPr>
        <w:rPr>
          <w:b/>
          <w:bCs/>
          <w:i/>
          <w:iCs/>
          <w:color w:val="000000"/>
          <w:sz w:val="22"/>
          <w:szCs w:val="22"/>
        </w:rPr>
      </w:pPr>
    </w:p>
    <w:p w14:paraId="3FA0F211" w14:textId="77777777" w:rsidR="00BC50BD" w:rsidRDefault="00BC50BD" w:rsidP="00BC50BD">
      <w:pPr>
        <w:rPr>
          <w:b/>
          <w:bCs/>
        </w:rPr>
      </w:pPr>
      <w:r>
        <w:rPr>
          <w:b/>
          <w:bCs/>
          <w:i/>
          <w:iCs/>
          <w:color w:val="000000"/>
          <w:sz w:val="22"/>
          <w:szCs w:val="22"/>
        </w:rPr>
        <w:lastRenderedPageBreak/>
        <w:t>Acerca de Nidera Semillas</w:t>
      </w:r>
    </w:p>
    <w:p w14:paraId="1C7342E8" w14:textId="77777777" w:rsidR="00BC50BD" w:rsidRDefault="00BC50BD" w:rsidP="00BC50BD">
      <w:pPr>
        <w:rPr>
          <w:i/>
          <w:iCs/>
          <w:color w:val="000000"/>
          <w:sz w:val="22"/>
          <w:szCs w:val="22"/>
        </w:rPr>
      </w:pPr>
      <w:r>
        <w:rPr>
          <w:i/>
          <w:iCs/>
          <w:color w:val="000000"/>
          <w:sz w:val="22"/>
          <w:szCs w:val="22"/>
        </w:rPr>
        <w:t>Nidera es una marca de semillas de maíz, trigo, girasol y soja perteneciente al grupo Syngenta. La compañía acompaña a los productores con genética de vanguardia, herramientas digitales y un equipo técnico especializado en los desafíos productivos de cada lote.</w:t>
      </w:r>
    </w:p>
    <w:p w14:paraId="0CDA71C3" w14:textId="77777777" w:rsidR="00BC50BD" w:rsidRDefault="00BC50BD" w:rsidP="00BC50BD">
      <w:pPr>
        <w:rPr>
          <w:i/>
          <w:iCs/>
          <w:color w:val="000000"/>
          <w:sz w:val="22"/>
          <w:szCs w:val="22"/>
        </w:rPr>
      </w:pPr>
      <w:r>
        <w:rPr>
          <w:i/>
          <w:iCs/>
          <w:color w:val="000000"/>
          <w:sz w:val="22"/>
          <w:szCs w:val="22"/>
        </w:rPr>
        <w:t xml:space="preserve">Más información: </w:t>
      </w:r>
      <w:hyperlink r:id="rId4" w:history="1">
        <w:r w:rsidRPr="0032077A">
          <w:rPr>
            <w:rStyle w:val="Hipervnculo"/>
            <w:i/>
            <w:iCs/>
            <w:sz w:val="22"/>
            <w:szCs w:val="22"/>
          </w:rPr>
          <w:t>www.niderasemillas.com.ar</w:t>
        </w:r>
      </w:hyperlink>
      <w:r>
        <w:rPr>
          <w:i/>
          <w:iCs/>
          <w:color w:val="000000"/>
          <w:sz w:val="22"/>
          <w:szCs w:val="22"/>
        </w:rPr>
        <w:t xml:space="preserve"> </w:t>
      </w:r>
    </w:p>
    <w:p w14:paraId="334AF126" w14:textId="77777777" w:rsidR="00BC50BD" w:rsidRDefault="00BC50BD" w:rsidP="00BC50BD">
      <w:pPr>
        <w:rPr>
          <w:i/>
          <w:iCs/>
          <w:color w:val="000000"/>
          <w:sz w:val="22"/>
          <w:szCs w:val="22"/>
        </w:rPr>
      </w:pPr>
      <w:r>
        <w:rPr>
          <w:i/>
          <w:iCs/>
          <w:color w:val="000000"/>
          <w:sz w:val="22"/>
          <w:szCs w:val="22"/>
        </w:rPr>
        <w:t>Redes sociales: @niderasemillas</w:t>
      </w:r>
    </w:p>
    <w:p w14:paraId="135E5A58" w14:textId="77777777" w:rsidR="004D3820" w:rsidRDefault="004D3820"/>
    <w:sectPr w:rsidR="004D3820" w:rsidSect="00BC50BD">
      <w:headerReference w:type="default" r:id="rId5"/>
      <w:footerReference w:type="default" r:id="rId6"/>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FF6E" w14:textId="77777777" w:rsidR="00BC50BD" w:rsidRDefault="00BC50BD">
    <w:pPr>
      <w:spacing w:after="0"/>
      <w:jc w:val="right"/>
      <w:rPr>
        <w:sz w:val="16"/>
        <w:szCs w:val="16"/>
      </w:rPr>
    </w:pPr>
    <w:r>
      <w:rPr>
        <w:sz w:val="16"/>
        <w:szCs w:val="16"/>
      </w:rPr>
      <w:t>Prensa: SAVIA Comunicación</w:t>
    </w:r>
  </w:p>
  <w:p w14:paraId="0F291068" w14:textId="77777777" w:rsidR="00BC50BD" w:rsidRDefault="00BC50BD">
    <w:pPr>
      <w:spacing w:after="0"/>
      <w:jc w:val="right"/>
      <w:rPr>
        <w:sz w:val="16"/>
        <w:szCs w:val="16"/>
      </w:rPr>
    </w:pPr>
    <w:r>
      <w:rPr>
        <w:sz w:val="16"/>
        <w:szCs w:val="16"/>
      </w:rPr>
      <w:t>+54 9 11 6967 2255 | +54 9 11 6052 0241</w:t>
    </w:r>
    <w:r>
      <w:rPr>
        <w:sz w:val="16"/>
        <w:szCs w:val="16"/>
      </w:rPr>
      <w:br/>
      <w:t>prensa@saviacomunicacion.com.ar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0464" w14:textId="77777777" w:rsidR="00BC50BD" w:rsidRDefault="00BC50BD">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1B5FC432" wp14:editId="43F66052">
          <wp:extent cx="1038225" cy="1019175"/>
          <wp:effectExtent l="0" t="0" r="0" b="0"/>
          <wp:docPr id="2" name="image1.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10;&#10;El contenido generado por IA puede ser incorrecto."/>
                  <pic:cNvPicPr preferRelativeResize="0"/>
                </pic:nvPicPr>
                <pic:blipFill>
                  <a:blip r:embed="rId1"/>
                  <a:srcRect/>
                  <a:stretch>
                    <a:fillRect/>
                  </a:stretch>
                </pic:blipFill>
                <pic:spPr>
                  <a:xfrm>
                    <a:off x="0" y="0"/>
                    <a:ext cx="1038225" cy="1019175"/>
                  </a:xfrm>
                  <a:prstGeom prst="rect">
                    <a:avLst/>
                  </a:prstGeom>
                  <a:ln/>
                </pic:spPr>
              </pic:pic>
            </a:graphicData>
          </a:graphic>
        </wp:inline>
      </w:drawing>
    </w:r>
  </w:p>
  <w:p w14:paraId="4BB03C15" w14:textId="77777777" w:rsidR="00BC50BD" w:rsidRDefault="00BC50BD">
    <w:pPr>
      <w:pBdr>
        <w:top w:val="nil"/>
        <w:left w:val="nil"/>
        <w:bottom w:val="nil"/>
        <w:right w:val="nil"/>
        <w:between w:val="nil"/>
      </w:pBdr>
      <w:tabs>
        <w:tab w:val="center" w:pos="4252"/>
        <w:tab w:val="right" w:pos="8504"/>
      </w:tabs>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20"/>
    <w:rsid w:val="004D3820"/>
    <w:rsid w:val="00BC50BD"/>
    <w:rsid w:val="00CC48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54EC"/>
  <w15:chartTrackingRefBased/>
  <w15:docId w15:val="{CFAC1CE3-F1E2-4728-A8A1-B5FAE701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BD"/>
    <w:pPr>
      <w:spacing w:line="276" w:lineRule="auto"/>
    </w:pPr>
    <w:rPr>
      <w:rFonts w:ascii="Calibri" w:eastAsia="Calibri" w:hAnsi="Calibri" w:cs="Calibri"/>
      <w:kern w:val="0"/>
      <w:lang w:val="es-AR" w:eastAsia="es-MX"/>
      <w14:ligatures w14:val="none"/>
    </w:rPr>
  </w:style>
  <w:style w:type="paragraph" w:styleId="Ttulo1">
    <w:name w:val="heading 1"/>
    <w:basedOn w:val="Normal"/>
    <w:next w:val="Normal"/>
    <w:link w:val="Ttulo1Car"/>
    <w:uiPriority w:val="9"/>
    <w:qFormat/>
    <w:rsid w:val="004D382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4D382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4D382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4D3820"/>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s-ES" w:eastAsia="en-US"/>
      <w14:ligatures w14:val="standardContextual"/>
    </w:rPr>
  </w:style>
  <w:style w:type="paragraph" w:styleId="Ttulo5">
    <w:name w:val="heading 5"/>
    <w:basedOn w:val="Normal"/>
    <w:next w:val="Normal"/>
    <w:link w:val="Ttulo5Car"/>
    <w:uiPriority w:val="9"/>
    <w:semiHidden/>
    <w:unhideWhenUsed/>
    <w:qFormat/>
    <w:rsid w:val="004D3820"/>
    <w:pPr>
      <w:keepNext/>
      <w:keepLines/>
      <w:spacing w:before="80" w:after="40" w:line="278" w:lineRule="auto"/>
      <w:outlineLvl w:val="4"/>
    </w:pPr>
    <w:rPr>
      <w:rFonts w:asciiTheme="minorHAnsi" w:eastAsiaTheme="majorEastAsia" w:hAnsiTheme="minorHAnsi" w:cstheme="majorBidi"/>
      <w:color w:val="2F5496" w:themeColor="accent1" w:themeShade="BF"/>
      <w:kern w:val="2"/>
      <w:lang w:val="es-ES" w:eastAsia="en-US"/>
      <w14:ligatures w14:val="standardContextual"/>
    </w:rPr>
  </w:style>
  <w:style w:type="paragraph" w:styleId="Ttulo6">
    <w:name w:val="heading 6"/>
    <w:basedOn w:val="Normal"/>
    <w:next w:val="Normal"/>
    <w:link w:val="Ttulo6Car"/>
    <w:uiPriority w:val="9"/>
    <w:semiHidden/>
    <w:unhideWhenUsed/>
    <w:qFormat/>
    <w:rsid w:val="004D3820"/>
    <w:pPr>
      <w:keepNext/>
      <w:keepLines/>
      <w:spacing w:before="40" w:after="0" w:line="278" w:lineRule="auto"/>
      <w:outlineLvl w:val="5"/>
    </w:pPr>
    <w:rPr>
      <w:rFonts w:asciiTheme="minorHAnsi" w:eastAsiaTheme="majorEastAsia" w:hAnsiTheme="minorHAnsi" w:cstheme="majorBidi"/>
      <w:i/>
      <w:iCs/>
      <w:color w:val="595959" w:themeColor="text1" w:themeTint="A6"/>
      <w:kern w:val="2"/>
      <w:lang w:val="es-ES" w:eastAsia="en-US"/>
      <w14:ligatures w14:val="standardContextual"/>
    </w:rPr>
  </w:style>
  <w:style w:type="paragraph" w:styleId="Ttulo7">
    <w:name w:val="heading 7"/>
    <w:basedOn w:val="Normal"/>
    <w:next w:val="Normal"/>
    <w:link w:val="Ttulo7Car"/>
    <w:uiPriority w:val="9"/>
    <w:semiHidden/>
    <w:unhideWhenUsed/>
    <w:qFormat/>
    <w:rsid w:val="004D3820"/>
    <w:pPr>
      <w:keepNext/>
      <w:keepLines/>
      <w:spacing w:before="40" w:after="0" w:line="278" w:lineRule="auto"/>
      <w:outlineLvl w:val="6"/>
    </w:pPr>
    <w:rPr>
      <w:rFonts w:asciiTheme="minorHAnsi" w:eastAsiaTheme="majorEastAsia" w:hAnsiTheme="minorHAnsi" w:cstheme="majorBidi"/>
      <w:color w:val="595959" w:themeColor="text1" w:themeTint="A6"/>
      <w:kern w:val="2"/>
      <w:lang w:val="es-ES" w:eastAsia="en-US"/>
      <w14:ligatures w14:val="standardContextual"/>
    </w:rPr>
  </w:style>
  <w:style w:type="paragraph" w:styleId="Ttulo8">
    <w:name w:val="heading 8"/>
    <w:basedOn w:val="Normal"/>
    <w:next w:val="Normal"/>
    <w:link w:val="Ttulo8Car"/>
    <w:uiPriority w:val="9"/>
    <w:semiHidden/>
    <w:unhideWhenUsed/>
    <w:qFormat/>
    <w:rsid w:val="004D3820"/>
    <w:pPr>
      <w:keepNext/>
      <w:keepLines/>
      <w:spacing w:after="0" w:line="278" w:lineRule="auto"/>
      <w:outlineLvl w:val="7"/>
    </w:pPr>
    <w:rPr>
      <w:rFonts w:asciiTheme="minorHAnsi" w:eastAsiaTheme="majorEastAsia" w:hAnsiTheme="minorHAnsi" w:cstheme="majorBidi"/>
      <w:i/>
      <w:iCs/>
      <w:color w:val="272727" w:themeColor="text1" w:themeTint="D8"/>
      <w:kern w:val="2"/>
      <w:lang w:val="es-ES" w:eastAsia="en-US"/>
      <w14:ligatures w14:val="standardContextual"/>
    </w:rPr>
  </w:style>
  <w:style w:type="paragraph" w:styleId="Ttulo9">
    <w:name w:val="heading 9"/>
    <w:basedOn w:val="Normal"/>
    <w:next w:val="Normal"/>
    <w:link w:val="Ttulo9Car"/>
    <w:uiPriority w:val="9"/>
    <w:semiHidden/>
    <w:unhideWhenUsed/>
    <w:qFormat/>
    <w:rsid w:val="004D3820"/>
    <w:pPr>
      <w:keepNext/>
      <w:keepLines/>
      <w:spacing w:after="0" w:line="278" w:lineRule="auto"/>
      <w:outlineLvl w:val="8"/>
    </w:pPr>
    <w:rPr>
      <w:rFonts w:asciiTheme="minorHAnsi" w:eastAsiaTheme="majorEastAsia" w:hAnsiTheme="minorHAnsi" w:cstheme="majorBidi"/>
      <w:color w:val="272727" w:themeColor="text1" w:themeTint="D8"/>
      <w:kern w:val="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382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D382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D382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D382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D382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D38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38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38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3820"/>
    <w:rPr>
      <w:rFonts w:eastAsiaTheme="majorEastAsia" w:cstheme="majorBidi"/>
      <w:color w:val="272727" w:themeColor="text1" w:themeTint="D8"/>
    </w:rPr>
  </w:style>
  <w:style w:type="paragraph" w:styleId="Ttulo">
    <w:name w:val="Title"/>
    <w:basedOn w:val="Normal"/>
    <w:next w:val="Normal"/>
    <w:link w:val="TtuloCar"/>
    <w:uiPriority w:val="10"/>
    <w:qFormat/>
    <w:rsid w:val="004D3820"/>
    <w:pPr>
      <w:spacing w:after="80" w:line="240" w:lineRule="auto"/>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4D38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3820"/>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4D38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3820"/>
    <w:pPr>
      <w:spacing w:before="160" w:line="278" w:lineRule="auto"/>
      <w:jc w:val="center"/>
    </w:pPr>
    <w:rPr>
      <w:rFonts w:asciiTheme="minorHAnsi" w:eastAsiaTheme="minorHAnsi" w:hAnsiTheme="minorHAnsi" w:cstheme="minorBidi"/>
      <w:i/>
      <w:iCs/>
      <w:color w:val="404040" w:themeColor="text1" w:themeTint="BF"/>
      <w:kern w:val="2"/>
      <w:lang w:val="es-ES" w:eastAsia="en-US"/>
      <w14:ligatures w14:val="standardContextual"/>
    </w:rPr>
  </w:style>
  <w:style w:type="character" w:customStyle="1" w:styleId="CitaCar">
    <w:name w:val="Cita Car"/>
    <w:basedOn w:val="Fuentedeprrafopredeter"/>
    <w:link w:val="Cita"/>
    <w:uiPriority w:val="29"/>
    <w:rsid w:val="004D3820"/>
    <w:rPr>
      <w:i/>
      <w:iCs/>
      <w:color w:val="404040" w:themeColor="text1" w:themeTint="BF"/>
    </w:rPr>
  </w:style>
  <w:style w:type="paragraph" w:styleId="Prrafodelista">
    <w:name w:val="List Paragraph"/>
    <w:basedOn w:val="Normal"/>
    <w:uiPriority w:val="34"/>
    <w:qFormat/>
    <w:rsid w:val="004D3820"/>
    <w:pPr>
      <w:spacing w:line="278" w:lineRule="auto"/>
      <w:ind w:left="720"/>
      <w:contextualSpacing/>
    </w:pPr>
    <w:rPr>
      <w:rFonts w:asciiTheme="minorHAnsi" w:eastAsiaTheme="minorHAnsi" w:hAnsiTheme="minorHAnsi" w:cstheme="minorBidi"/>
      <w:kern w:val="2"/>
      <w:lang w:val="es-ES" w:eastAsia="en-US"/>
      <w14:ligatures w14:val="standardContextual"/>
    </w:rPr>
  </w:style>
  <w:style w:type="character" w:styleId="nfasisintenso">
    <w:name w:val="Intense Emphasis"/>
    <w:basedOn w:val="Fuentedeprrafopredeter"/>
    <w:uiPriority w:val="21"/>
    <w:qFormat/>
    <w:rsid w:val="004D3820"/>
    <w:rPr>
      <w:i/>
      <w:iCs/>
      <w:color w:val="2F5496" w:themeColor="accent1" w:themeShade="BF"/>
    </w:rPr>
  </w:style>
  <w:style w:type="paragraph" w:styleId="Citadestacada">
    <w:name w:val="Intense Quote"/>
    <w:basedOn w:val="Normal"/>
    <w:next w:val="Normal"/>
    <w:link w:val="CitadestacadaCar"/>
    <w:uiPriority w:val="30"/>
    <w:qFormat/>
    <w:rsid w:val="004D382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s-ES" w:eastAsia="en-US"/>
      <w14:ligatures w14:val="standardContextual"/>
    </w:rPr>
  </w:style>
  <w:style w:type="character" w:customStyle="1" w:styleId="CitadestacadaCar">
    <w:name w:val="Cita destacada Car"/>
    <w:basedOn w:val="Fuentedeprrafopredeter"/>
    <w:link w:val="Citadestacada"/>
    <w:uiPriority w:val="30"/>
    <w:rsid w:val="004D3820"/>
    <w:rPr>
      <w:i/>
      <w:iCs/>
      <w:color w:val="2F5496" w:themeColor="accent1" w:themeShade="BF"/>
    </w:rPr>
  </w:style>
  <w:style w:type="character" w:styleId="Referenciaintensa">
    <w:name w:val="Intense Reference"/>
    <w:basedOn w:val="Fuentedeprrafopredeter"/>
    <w:uiPriority w:val="32"/>
    <w:qFormat/>
    <w:rsid w:val="004D3820"/>
    <w:rPr>
      <w:b/>
      <w:bCs/>
      <w:smallCaps/>
      <w:color w:val="2F5496" w:themeColor="accent1" w:themeShade="BF"/>
      <w:spacing w:val="5"/>
    </w:rPr>
  </w:style>
  <w:style w:type="character" w:styleId="Hipervnculo">
    <w:name w:val="Hyperlink"/>
    <w:basedOn w:val="Fuentedeprrafopredeter"/>
    <w:uiPriority w:val="99"/>
    <w:unhideWhenUsed/>
    <w:rsid w:val="00BC5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www.niderasemillas.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4741</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Miguens</dc:creator>
  <cp:keywords/>
  <dc:description/>
  <cp:lastModifiedBy>Matias Miguens</cp:lastModifiedBy>
  <cp:revision>2</cp:revision>
  <dcterms:created xsi:type="dcterms:W3CDTF">2026-04-09T15:51:00Z</dcterms:created>
  <dcterms:modified xsi:type="dcterms:W3CDTF">2026-04-09T15:51:00Z</dcterms:modified>
</cp:coreProperties>
</file>