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72C9" w:rsidRDefault="00A272C9" w:rsidP="00A272C9">
      <w:pPr>
        <w:spacing w:before="240" w:after="240"/>
        <w:rPr>
          <w:rFonts w:ascii="Arial" w:eastAsia="Arial" w:hAnsi="Arial" w:cs="Arial"/>
          <w:b/>
          <w:bCs/>
          <w:sz w:val="32"/>
          <w:szCs w:val="32"/>
        </w:rPr>
      </w:pPr>
      <w:r>
        <w:rPr>
          <w:rFonts w:ascii="Arial" w:eastAsia="Arial" w:hAnsi="Arial" w:cs="Arial"/>
          <w:b/>
          <w:bCs/>
          <w:sz w:val="32"/>
          <w:szCs w:val="32"/>
        </w:rPr>
        <w:t xml:space="preserve">A TODO TRIGO 2026, donde </w:t>
      </w:r>
      <w:r w:rsidRPr="00F41E97">
        <w:rPr>
          <w:rFonts w:ascii="Arial" w:eastAsia="Arial" w:hAnsi="Arial" w:cs="Arial"/>
          <w:b/>
          <w:bCs/>
          <w:sz w:val="32"/>
          <w:szCs w:val="32"/>
        </w:rPr>
        <w:t xml:space="preserve">la incertidumbre </w:t>
      </w:r>
      <w:r>
        <w:rPr>
          <w:rFonts w:ascii="Arial" w:eastAsia="Arial" w:hAnsi="Arial" w:cs="Arial"/>
          <w:b/>
          <w:bCs/>
          <w:sz w:val="32"/>
          <w:szCs w:val="32"/>
        </w:rPr>
        <w:t xml:space="preserve">se transforma </w:t>
      </w:r>
      <w:r w:rsidRPr="00F41E97">
        <w:rPr>
          <w:rFonts w:ascii="Arial" w:eastAsia="Arial" w:hAnsi="Arial" w:cs="Arial"/>
          <w:b/>
          <w:bCs/>
          <w:sz w:val="32"/>
          <w:szCs w:val="32"/>
        </w:rPr>
        <w:t>en decisiones</w:t>
      </w:r>
    </w:p>
    <w:p w:rsidR="00A272C9" w:rsidRPr="008762F5" w:rsidRDefault="00A272C9" w:rsidP="00A272C9">
      <w:pPr>
        <w:spacing w:after="280"/>
        <w:rPr>
          <w:rFonts w:ascii="Arial" w:eastAsia="Arial" w:hAnsi="Arial" w:cs="Arial"/>
          <w:i/>
          <w:iCs/>
          <w:sz w:val="22"/>
          <w:szCs w:val="22"/>
        </w:rPr>
      </w:pPr>
      <w:r w:rsidRPr="008762F5">
        <w:rPr>
          <w:rFonts w:ascii="Arial" w:eastAsia="Arial" w:hAnsi="Arial" w:cs="Arial"/>
          <w:i/>
          <w:iCs/>
          <w:sz w:val="22"/>
          <w:szCs w:val="22"/>
        </w:rPr>
        <w:t>Con perfiles hídricos recargados y un escenario climático favorable, la próxima campaña de trigo se perfila con gran potencial productivo. Pero el fuerte aumento de los costos obliga a tomar decisiones estratégicas. ¿Cuáles? Las respuestas estarán en el Congreso A Todo Trigo 2026.</w:t>
      </w:r>
    </w:p>
    <w:p w:rsidR="00A272C9" w:rsidRPr="008762F5" w:rsidRDefault="00A272C9" w:rsidP="00A272C9">
      <w:pPr>
        <w:spacing w:after="200"/>
        <w:rPr>
          <w:rFonts w:ascii="Arial" w:eastAsia="Arial" w:hAnsi="Arial" w:cs="Arial"/>
          <w:sz w:val="22"/>
          <w:szCs w:val="22"/>
        </w:rPr>
      </w:pPr>
      <w:r w:rsidRPr="008762F5">
        <w:rPr>
          <w:rFonts w:ascii="Arial" w:eastAsia="Arial" w:hAnsi="Arial" w:cs="Arial"/>
          <w:sz w:val="22"/>
          <w:szCs w:val="22"/>
        </w:rPr>
        <w:t xml:space="preserve">En un escenario que combina señales climáticas alentadoras con tensiones económicas crecientes, el cultivo de trigo vuelve a ubicarse en el centro de las decisiones productivas. Según el análisis de especialistas, las condiciones agroclimáticas para la campaña 2026 son altamente favorables, con perfiles de suelo bien recargados y un pronóstico asociado a un evento Niño que anticipa buenas precipitaciones. </w:t>
      </w:r>
    </w:p>
    <w:p w:rsidR="00A272C9" w:rsidRPr="008762F5" w:rsidRDefault="00A272C9" w:rsidP="00A272C9">
      <w:pPr>
        <w:spacing w:after="200"/>
        <w:rPr>
          <w:rFonts w:ascii="Arial" w:eastAsia="Arial" w:hAnsi="Arial" w:cs="Arial"/>
          <w:sz w:val="22"/>
          <w:szCs w:val="22"/>
        </w:rPr>
      </w:pPr>
      <w:r w:rsidRPr="008762F5">
        <w:rPr>
          <w:rFonts w:ascii="Arial" w:eastAsia="Arial" w:hAnsi="Arial" w:cs="Arial"/>
          <w:sz w:val="22"/>
          <w:szCs w:val="22"/>
        </w:rPr>
        <w:t xml:space="preserve">“Desde el punto de vista ambiental, todo indica que puede ser un año muy bueno, incluso similar al anterior, que fue récord”, explica Daniel Miralles, docente de </w:t>
      </w:r>
      <w:r>
        <w:rPr>
          <w:rFonts w:ascii="Arial" w:eastAsia="Arial" w:hAnsi="Arial" w:cs="Arial"/>
          <w:sz w:val="22"/>
          <w:szCs w:val="22"/>
        </w:rPr>
        <w:t>la Facultad de Agronomía de la Universidad de Buenos Aires (FAUBA)</w:t>
      </w:r>
      <w:r w:rsidRPr="008762F5">
        <w:rPr>
          <w:rFonts w:ascii="Arial" w:eastAsia="Arial" w:hAnsi="Arial" w:cs="Arial"/>
          <w:sz w:val="22"/>
          <w:szCs w:val="22"/>
        </w:rPr>
        <w:t xml:space="preserve"> y coordinador técnico del Congreso A Todo Trigo</w:t>
      </w:r>
      <w:r>
        <w:rPr>
          <w:rFonts w:ascii="Arial" w:eastAsia="Arial" w:hAnsi="Arial" w:cs="Arial"/>
          <w:sz w:val="22"/>
          <w:szCs w:val="22"/>
        </w:rPr>
        <w:t>, que se llevará a cabo el 14 y 15 de mayo en el Sheraton de Mar del Plata, organizado por la Federación de Acopiadores</w:t>
      </w:r>
      <w:r w:rsidRPr="008762F5">
        <w:rPr>
          <w:rFonts w:ascii="Arial" w:eastAsia="Arial" w:hAnsi="Arial" w:cs="Arial"/>
          <w:sz w:val="22"/>
          <w:szCs w:val="22"/>
        </w:rPr>
        <w:t xml:space="preserve">. </w:t>
      </w:r>
    </w:p>
    <w:p w:rsidR="00A272C9" w:rsidRPr="008762F5" w:rsidRDefault="00A272C9" w:rsidP="00A272C9">
      <w:pPr>
        <w:spacing w:after="200"/>
        <w:rPr>
          <w:rFonts w:ascii="Arial" w:eastAsia="Arial" w:hAnsi="Arial" w:cs="Arial"/>
          <w:sz w:val="22"/>
          <w:szCs w:val="22"/>
        </w:rPr>
      </w:pPr>
      <w:r w:rsidRPr="008762F5">
        <w:rPr>
          <w:rFonts w:ascii="Arial" w:eastAsia="Arial" w:hAnsi="Arial" w:cs="Arial"/>
          <w:sz w:val="22"/>
          <w:szCs w:val="22"/>
        </w:rPr>
        <w:t xml:space="preserve">Sin embargo, el frente económico presenta desafíos significativos. El fuerte incremento en el precio de los fertilizantes, que prácticamente duplicaron su valor en el último tiempo, impacta de lleno en la ecuación productiva. Actualmente, el productor enfrenta inversiones cercanas a los 1.500 dólares por hectárea en sistemas como trigo/soja de segunda, con márgenes ajustados. </w:t>
      </w:r>
    </w:p>
    <w:p w:rsidR="00A272C9" w:rsidRPr="008762F5" w:rsidRDefault="00A272C9" w:rsidP="00A272C9">
      <w:pPr>
        <w:spacing w:after="200"/>
        <w:rPr>
          <w:rFonts w:ascii="Arial" w:eastAsia="Arial" w:hAnsi="Arial" w:cs="Arial"/>
          <w:sz w:val="22"/>
          <w:szCs w:val="22"/>
        </w:rPr>
      </w:pPr>
      <w:r w:rsidRPr="008762F5">
        <w:rPr>
          <w:rFonts w:ascii="Arial" w:eastAsia="Arial" w:hAnsi="Arial" w:cs="Arial"/>
          <w:sz w:val="22"/>
          <w:szCs w:val="22"/>
        </w:rPr>
        <w:t xml:space="preserve">En este contexto, la decisión de sembrar trigo no puede analizarse de manera aislada. “El productor tiene que mirar el sistema completo: la rotación, el aporte </w:t>
      </w:r>
      <w:r>
        <w:rPr>
          <w:rFonts w:ascii="Arial" w:eastAsia="Arial" w:hAnsi="Arial" w:cs="Arial"/>
          <w:sz w:val="22"/>
          <w:szCs w:val="22"/>
        </w:rPr>
        <w:t xml:space="preserve">de los cultivos de invierno </w:t>
      </w:r>
      <w:r w:rsidRPr="008762F5">
        <w:rPr>
          <w:rFonts w:ascii="Arial" w:eastAsia="Arial" w:hAnsi="Arial" w:cs="Arial"/>
          <w:sz w:val="22"/>
          <w:szCs w:val="22"/>
        </w:rPr>
        <w:t xml:space="preserve">a </w:t>
      </w:r>
      <w:r>
        <w:rPr>
          <w:rFonts w:ascii="Arial" w:eastAsia="Arial" w:hAnsi="Arial" w:cs="Arial"/>
          <w:sz w:val="22"/>
          <w:szCs w:val="22"/>
        </w:rPr>
        <w:t xml:space="preserve">la estructura y fertilidad de </w:t>
      </w:r>
      <w:r w:rsidRPr="008762F5">
        <w:rPr>
          <w:rFonts w:ascii="Arial" w:eastAsia="Arial" w:hAnsi="Arial" w:cs="Arial"/>
          <w:sz w:val="22"/>
          <w:szCs w:val="22"/>
        </w:rPr>
        <w:t>los suelos, la generación de ingresos en momentos clave del año</w:t>
      </w:r>
      <w:r>
        <w:rPr>
          <w:rFonts w:ascii="Arial" w:eastAsia="Arial" w:hAnsi="Arial" w:cs="Arial"/>
          <w:sz w:val="22"/>
          <w:szCs w:val="22"/>
        </w:rPr>
        <w:t xml:space="preserve"> como son los meses de diciembre y enero</w:t>
      </w:r>
      <w:r w:rsidRPr="008762F5">
        <w:rPr>
          <w:rFonts w:ascii="Arial" w:eastAsia="Arial" w:hAnsi="Arial" w:cs="Arial"/>
          <w:sz w:val="22"/>
          <w:szCs w:val="22"/>
        </w:rPr>
        <w:t xml:space="preserve">. Ahí es donde el trigo sigue teniendo un rol estratégico”, señala Miralles. </w:t>
      </w:r>
    </w:p>
    <w:p w:rsidR="00A272C9" w:rsidRPr="00C10591" w:rsidRDefault="00A272C9" w:rsidP="00A272C9">
      <w:pPr>
        <w:spacing w:after="200"/>
        <w:rPr>
          <w:rFonts w:ascii="Arial" w:eastAsia="Arial" w:hAnsi="Arial" w:cs="Arial"/>
          <w:sz w:val="22"/>
          <w:szCs w:val="22"/>
        </w:rPr>
      </w:pPr>
      <w:r w:rsidRPr="008762F5">
        <w:rPr>
          <w:rFonts w:ascii="Arial" w:eastAsia="Arial" w:hAnsi="Arial" w:cs="Arial"/>
          <w:sz w:val="22"/>
          <w:szCs w:val="22"/>
        </w:rPr>
        <w:t xml:space="preserve">Además, emergen nuevas oportunidades productivas. Los cultivos energéticos como colza, </w:t>
      </w:r>
      <w:proofErr w:type="spellStart"/>
      <w:r w:rsidRPr="008762F5">
        <w:rPr>
          <w:rFonts w:ascii="Arial" w:eastAsia="Arial" w:hAnsi="Arial" w:cs="Arial"/>
          <w:sz w:val="22"/>
          <w:szCs w:val="22"/>
        </w:rPr>
        <w:t>carinata</w:t>
      </w:r>
      <w:proofErr w:type="spellEnd"/>
      <w:r w:rsidRPr="008762F5">
        <w:rPr>
          <w:rFonts w:ascii="Arial" w:eastAsia="Arial" w:hAnsi="Arial" w:cs="Arial"/>
          <w:sz w:val="22"/>
          <w:szCs w:val="22"/>
        </w:rPr>
        <w:t xml:space="preserve"> y camelina ganan protagonismo, con márgenes </w:t>
      </w:r>
      <w:r>
        <w:rPr>
          <w:rFonts w:ascii="Arial" w:eastAsia="Arial" w:hAnsi="Arial" w:cs="Arial"/>
          <w:sz w:val="22"/>
          <w:szCs w:val="22"/>
        </w:rPr>
        <w:t xml:space="preserve">netos muchas veces </w:t>
      </w:r>
      <w:r w:rsidRPr="008762F5">
        <w:rPr>
          <w:rFonts w:ascii="Arial" w:eastAsia="Arial" w:hAnsi="Arial" w:cs="Arial"/>
          <w:sz w:val="22"/>
          <w:szCs w:val="22"/>
        </w:rPr>
        <w:t xml:space="preserve">superiores </w:t>
      </w:r>
      <w:r>
        <w:rPr>
          <w:rFonts w:ascii="Arial" w:eastAsia="Arial" w:hAnsi="Arial" w:cs="Arial"/>
          <w:sz w:val="22"/>
          <w:szCs w:val="22"/>
        </w:rPr>
        <w:t xml:space="preserve">a los cereales invernales </w:t>
      </w:r>
      <w:r w:rsidRPr="008762F5">
        <w:rPr>
          <w:rFonts w:ascii="Arial" w:eastAsia="Arial" w:hAnsi="Arial" w:cs="Arial"/>
          <w:sz w:val="22"/>
          <w:szCs w:val="22"/>
        </w:rPr>
        <w:t>y un fuerte potencial vinculado a la demanda global de</w:t>
      </w:r>
      <w:r>
        <w:rPr>
          <w:rFonts w:ascii="Arial" w:eastAsia="Arial" w:hAnsi="Arial" w:cs="Arial"/>
          <w:sz w:val="22"/>
          <w:szCs w:val="22"/>
        </w:rPr>
        <w:t xml:space="preserve"> </w:t>
      </w:r>
      <w:r w:rsidRPr="008762F5">
        <w:rPr>
          <w:rFonts w:ascii="Arial" w:eastAsia="Arial" w:hAnsi="Arial" w:cs="Arial"/>
          <w:sz w:val="22"/>
          <w:szCs w:val="22"/>
        </w:rPr>
        <w:t xml:space="preserve">biocombustibles de alta calidad. </w:t>
      </w:r>
      <w:r>
        <w:rPr>
          <w:rFonts w:ascii="Arial" w:eastAsia="Arial" w:hAnsi="Arial" w:cs="Arial"/>
          <w:sz w:val="22"/>
          <w:szCs w:val="22"/>
        </w:rPr>
        <w:t>“</w:t>
      </w:r>
      <w:r w:rsidRPr="003F6B12">
        <w:rPr>
          <w:rFonts w:ascii="Arial" w:eastAsia="Arial" w:hAnsi="Arial" w:cs="Arial"/>
          <w:sz w:val="22"/>
          <w:szCs w:val="22"/>
        </w:rPr>
        <w:t xml:space="preserve">La Argentina solo ocupa unas 35.000 hectáreas con estos cultivos mientras que, por ejemplo, Uruguay siembra unas 360.000 hectáreas </w:t>
      </w:r>
      <w:r>
        <w:rPr>
          <w:rFonts w:ascii="Arial" w:eastAsia="Arial" w:hAnsi="Arial" w:cs="Arial"/>
          <w:sz w:val="22"/>
          <w:szCs w:val="22"/>
        </w:rPr>
        <w:t xml:space="preserve">principalmente </w:t>
      </w:r>
      <w:r w:rsidRPr="003F6B12">
        <w:rPr>
          <w:rFonts w:ascii="Arial" w:eastAsia="Arial" w:hAnsi="Arial" w:cs="Arial"/>
          <w:sz w:val="22"/>
          <w:szCs w:val="22"/>
        </w:rPr>
        <w:t>de colza”, acota el especialista de FAUBA</w:t>
      </w:r>
      <w:r>
        <w:rPr>
          <w:rFonts w:ascii="Arial" w:eastAsia="Arial" w:hAnsi="Arial" w:cs="Arial"/>
          <w:sz w:val="22"/>
          <w:szCs w:val="22"/>
        </w:rPr>
        <w:t>-CONICET.</w:t>
      </w:r>
    </w:p>
    <w:p w:rsidR="00A272C9" w:rsidRDefault="00A272C9" w:rsidP="00A272C9">
      <w:pPr>
        <w:spacing w:after="200"/>
        <w:rPr>
          <w:rFonts w:ascii="Arial" w:eastAsia="Arial" w:hAnsi="Arial" w:cs="Arial"/>
          <w:sz w:val="22"/>
          <w:szCs w:val="22"/>
        </w:rPr>
      </w:pPr>
      <w:r w:rsidRPr="008762F5">
        <w:rPr>
          <w:rFonts w:ascii="Arial" w:eastAsia="Arial" w:hAnsi="Arial" w:cs="Arial"/>
          <w:sz w:val="22"/>
          <w:szCs w:val="22"/>
        </w:rPr>
        <w:t xml:space="preserve">Frente a este escenario desafiante, el Congreso A Todo Trigo 2026 se presenta como un espacio clave para transformar </w:t>
      </w:r>
      <w:r>
        <w:rPr>
          <w:rFonts w:ascii="Arial" w:eastAsia="Arial" w:hAnsi="Arial" w:cs="Arial"/>
          <w:sz w:val="22"/>
          <w:szCs w:val="22"/>
        </w:rPr>
        <w:t xml:space="preserve">la </w:t>
      </w:r>
      <w:r w:rsidRPr="008762F5">
        <w:rPr>
          <w:rFonts w:ascii="Arial" w:eastAsia="Arial" w:hAnsi="Arial" w:cs="Arial"/>
          <w:sz w:val="22"/>
          <w:szCs w:val="22"/>
        </w:rPr>
        <w:t>incertidumbre en decisi</w:t>
      </w:r>
      <w:r>
        <w:rPr>
          <w:rFonts w:ascii="Arial" w:eastAsia="Arial" w:hAnsi="Arial" w:cs="Arial"/>
          <w:sz w:val="22"/>
          <w:szCs w:val="22"/>
        </w:rPr>
        <w:t>o</w:t>
      </w:r>
      <w:r w:rsidRPr="008762F5">
        <w:rPr>
          <w:rFonts w:ascii="Arial" w:eastAsia="Arial" w:hAnsi="Arial" w:cs="Arial"/>
          <w:sz w:val="22"/>
          <w:szCs w:val="22"/>
        </w:rPr>
        <w:t>n</w:t>
      </w:r>
      <w:r>
        <w:rPr>
          <w:rFonts w:ascii="Arial" w:eastAsia="Arial" w:hAnsi="Arial" w:cs="Arial"/>
          <w:sz w:val="22"/>
          <w:szCs w:val="22"/>
        </w:rPr>
        <w:t>es</w:t>
      </w:r>
      <w:r w:rsidRPr="008762F5">
        <w:rPr>
          <w:rFonts w:ascii="Arial" w:eastAsia="Arial" w:hAnsi="Arial" w:cs="Arial"/>
          <w:sz w:val="22"/>
          <w:szCs w:val="22"/>
        </w:rPr>
        <w:t>.</w:t>
      </w:r>
      <w:r>
        <w:rPr>
          <w:rFonts w:ascii="Arial" w:eastAsia="Arial" w:hAnsi="Arial" w:cs="Arial"/>
          <w:sz w:val="22"/>
          <w:szCs w:val="22"/>
        </w:rPr>
        <w:t xml:space="preserve"> </w:t>
      </w:r>
      <w:r w:rsidRPr="008762F5">
        <w:rPr>
          <w:rFonts w:ascii="Arial" w:eastAsia="Arial" w:hAnsi="Arial" w:cs="Arial"/>
          <w:sz w:val="22"/>
          <w:szCs w:val="22"/>
        </w:rPr>
        <w:t>“El gran eje va a ser cómo mejorar la eficiencia en el uso de los insumos</w:t>
      </w:r>
      <w:r>
        <w:rPr>
          <w:rFonts w:ascii="Arial" w:eastAsia="Arial" w:hAnsi="Arial" w:cs="Arial"/>
          <w:sz w:val="22"/>
          <w:szCs w:val="22"/>
        </w:rPr>
        <w:t xml:space="preserve"> e</w:t>
      </w:r>
      <w:r w:rsidRPr="008762F5">
        <w:rPr>
          <w:rFonts w:ascii="Arial" w:eastAsia="Arial" w:hAnsi="Arial" w:cs="Arial"/>
          <w:sz w:val="22"/>
          <w:szCs w:val="22"/>
        </w:rPr>
        <w:t xml:space="preserve">n un contexto de números tan finos”, destaca Miralles. </w:t>
      </w:r>
    </w:p>
    <w:p w:rsidR="00A272C9" w:rsidRPr="008762F5" w:rsidRDefault="00A272C9" w:rsidP="00A272C9">
      <w:pPr>
        <w:spacing w:after="200"/>
        <w:rPr>
          <w:rFonts w:ascii="Arial" w:eastAsia="Arial" w:hAnsi="Arial" w:cs="Arial"/>
          <w:sz w:val="22"/>
          <w:szCs w:val="22"/>
        </w:rPr>
      </w:pPr>
      <w:r>
        <w:rPr>
          <w:rFonts w:ascii="Arial" w:eastAsia="Arial" w:hAnsi="Arial" w:cs="Arial"/>
          <w:sz w:val="22"/>
          <w:szCs w:val="22"/>
        </w:rPr>
        <w:t>Para responder a esto, e</w:t>
      </w:r>
      <w:r w:rsidRPr="008762F5">
        <w:rPr>
          <w:rFonts w:ascii="Arial" w:eastAsia="Arial" w:hAnsi="Arial" w:cs="Arial"/>
          <w:sz w:val="22"/>
          <w:szCs w:val="22"/>
        </w:rPr>
        <w:t>l encuentro reunirá a especialistas, técnicos y productores para abordar los temas que hoy definen el negocio:</w:t>
      </w:r>
      <w:r>
        <w:rPr>
          <w:rFonts w:ascii="Arial" w:eastAsia="Arial" w:hAnsi="Arial" w:cs="Arial"/>
          <w:sz w:val="22"/>
          <w:szCs w:val="22"/>
        </w:rPr>
        <w:t xml:space="preserve"> las e</w:t>
      </w:r>
      <w:r w:rsidRPr="008762F5">
        <w:rPr>
          <w:rFonts w:ascii="Arial" w:eastAsia="Arial" w:hAnsi="Arial" w:cs="Arial"/>
          <w:sz w:val="22"/>
          <w:szCs w:val="22"/>
        </w:rPr>
        <w:t xml:space="preserve">strategias para maximizar la </w:t>
      </w:r>
      <w:r w:rsidRPr="008762F5">
        <w:rPr>
          <w:rFonts w:ascii="Arial" w:eastAsia="Arial" w:hAnsi="Arial" w:cs="Arial"/>
          <w:sz w:val="22"/>
          <w:szCs w:val="22"/>
        </w:rPr>
        <w:lastRenderedPageBreak/>
        <w:t>eficiencia productiva</w:t>
      </w:r>
      <w:r>
        <w:rPr>
          <w:rFonts w:ascii="Arial" w:eastAsia="Arial" w:hAnsi="Arial" w:cs="Arial"/>
          <w:sz w:val="22"/>
          <w:szCs w:val="22"/>
        </w:rPr>
        <w:t>, las n</w:t>
      </w:r>
      <w:r w:rsidRPr="008762F5">
        <w:rPr>
          <w:rFonts w:ascii="Arial" w:eastAsia="Arial" w:hAnsi="Arial" w:cs="Arial"/>
          <w:sz w:val="22"/>
          <w:szCs w:val="22"/>
        </w:rPr>
        <w:t>uevas alternativas como</w:t>
      </w:r>
      <w:r>
        <w:rPr>
          <w:rFonts w:ascii="Arial" w:eastAsia="Arial" w:hAnsi="Arial" w:cs="Arial"/>
          <w:sz w:val="22"/>
          <w:szCs w:val="22"/>
        </w:rPr>
        <w:t xml:space="preserve"> son los</w:t>
      </w:r>
      <w:r w:rsidRPr="008762F5">
        <w:rPr>
          <w:rFonts w:ascii="Arial" w:eastAsia="Arial" w:hAnsi="Arial" w:cs="Arial"/>
          <w:sz w:val="22"/>
          <w:szCs w:val="22"/>
        </w:rPr>
        <w:t xml:space="preserve"> cultivos energéticos</w:t>
      </w:r>
      <w:r>
        <w:rPr>
          <w:rFonts w:ascii="Arial" w:eastAsia="Arial" w:hAnsi="Arial" w:cs="Arial"/>
          <w:sz w:val="22"/>
          <w:szCs w:val="22"/>
        </w:rPr>
        <w:t>, el m</w:t>
      </w:r>
      <w:r w:rsidRPr="008762F5">
        <w:rPr>
          <w:rFonts w:ascii="Arial" w:eastAsia="Arial" w:hAnsi="Arial" w:cs="Arial"/>
          <w:sz w:val="22"/>
          <w:szCs w:val="22"/>
        </w:rPr>
        <w:t>anejo de</w:t>
      </w:r>
      <w:r>
        <w:rPr>
          <w:rFonts w:ascii="Arial" w:eastAsia="Arial" w:hAnsi="Arial" w:cs="Arial"/>
          <w:sz w:val="22"/>
          <w:szCs w:val="22"/>
        </w:rPr>
        <w:t>l</w:t>
      </w:r>
      <w:r w:rsidRPr="008762F5">
        <w:rPr>
          <w:rFonts w:ascii="Arial" w:eastAsia="Arial" w:hAnsi="Arial" w:cs="Arial"/>
          <w:sz w:val="22"/>
          <w:szCs w:val="22"/>
        </w:rPr>
        <w:t xml:space="preserve"> trigo y</w:t>
      </w:r>
      <w:r>
        <w:rPr>
          <w:rFonts w:ascii="Arial" w:eastAsia="Arial" w:hAnsi="Arial" w:cs="Arial"/>
          <w:sz w:val="22"/>
          <w:szCs w:val="22"/>
        </w:rPr>
        <w:t xml:space="preserve"> la</w:t>
      </w:r>
      <w:r w:rsidRPr="008762F5">
        <w:rPr>
          <w:rFonts w:ascii="Arial" w:eastAsia="Arial" w:hAnsi="Arial" w:cs="Arial"/>
          <w:sz w:val="22"/>
          <w:szCs w:val="22"/>
        </w:rPr>
        <w:t xml:space="preserve"> cebada en escenarios de alta exigenci</w:t>
      </w:r>
      <w:r>
        <w:rPr>
          <w:rFonts w:ascii="Arial" w:eastAsia="Arial" w:hAnsi="Arial" w:cs="Arial"/>
          <w:sz w:val="22"/>
          <w:szCs w:val="22"/>
        </w:rPr>
        <w:t>a, los d</w:t>
      </w:r>
      <w:r w:rsidRPr="008762F5">
        <w:rPr>
          <w:rFonts w:ascii="Arial" w:eastAsia="Arial" w:hAnsi="Arial" w:cs="Arial"/>
          <w:sz w:val="22"/>
          <w:szCs w:val="22"/>
        </w:rPr>
        <w:t>ebate</w:t>
      </w:r>
      <w:r>
        <w:rPr>
          <w:rFonts w:ascii="Arial" w:eastAsia="Arial" w:hAnsi="Arial" w:cs="Arial"/>
          <w:sz w:val="22"/>
          <w:szCs w:val="22"/>
        </w:rPr>
        <w:t>s</w:t>
      </w:r>
      <w:r w:rsidRPr="008762F5">
        <w:rPr>
          <w:rFonts w:ascii="Arial" w:eastAsia="Arial" w:hAnsi="Arial" w:cs="Arial"/>
          <w:sz w:val="22"/>
          <w:szCs w:val="22"/>
        </w:rPr>
        <w:t xml:space="preserve"> sobre sustentabilidad y ley de suelos </w:t>
      </w:r>
      <w:r>
        <w:rPr>
          <w:rFonts w:ascii="Arial" w:eastAsia="Arial" w:hAnsi="Arial" w:cs="Arial"/>
          <w:sz w:val="22"/>
          <w:szCs w:val="22"/>
        </w:rPr>
        <w:t>y, como plus, se abordará la percepción que la sociedad tiene sobre la producción agropecuaria. Serán más de 60 oradores en tres salas simultáneas analizando estrategias productivas y económicas con la convicción de que, e</w:t>
      </w:r>
      <w:r w:rsidRPr="008762F5">
        <w:rPr>
          <w:rFonts w:ascii="Arial" w:eastAsia="Arial" w:hAnsi="Arial" w:cs="Arial"/>
          <w:sz w:val="22"/>
          <w:szCs w:val="22"/>
        </w:rPr>
        <w:t xml:space="preserve">n un año </w:t>
      </w:r>
      <w:r>
        <w:rPr>
          <w:rFonts w:ascii="Arial" w:eastAsia="Arial" w:hAnsi="Arial" w:cs="Arial"/>
          <w:sz w:val="22"/>
          <w:szCs w:val="22"/>
        </w:rPr>
        <w:t xml:space="preserve">como éste en el que </w:t>
      </w:r>
      <w:r w:rsidRPr="008762F5">
        <w:rPr>
          <w:rFonts w:ascii="Arial" w:eastAsia="Arial" w:hAnsi="Arial" w:cs="Arial"/>
          <w:sz w:val="22"/>
          <w:szCs w:val="22"/>
        </w:rPr>
        <w:t>la información se convierte en la herramienta más valiosa</w:t>
      </w:r>
      <w:r>
        <w:rPr>
          <w:rFonts w:ascii="Arial" w:eastAsia="Arial" w:hAnsi="Arial" w:cs="Arial"/>
          <w:sz w:val="22"/>
          <w:szCs w:val="22"/>
        </w:rPr>
        <w:t xml:space="preserve">, </w:t>
      </w:r>
      <w:r w:rsidRPr="00667A80">
        <w:rPr>
          <w:rFonts w:ascii="Arial" w:eastAsia="Arial" w:hAnsi="Arial" w:cs="Arial"/>
          <w:sz w:val="22"/>
          <w:szCs w:val="22"/>
        </w:rPr>
        <w:t>A Todo Trigo 2026 no es solo un congreso</w:t>
      </w:r>
      <w:r>
        <w:rPr>
          <w:rFonts w:ascii="Arial" w:eastAsia="Arial" w:hAnsi="Arial" w:cs="Arial"/>
          <w:sz w:val="22"/>
          <w:szCs w:val="22"/>
        </w:rPr>
        <w:t>,</w:t>
      </w:r>
      <w:r w:rsidRPr="00667A80">
        <w:rPr>
          <w:rFonts w:ascii="Arial" w:eastAsia="Arial" w:hAnsi="Arial" w:cs="Arial"/>
          <w:sz w:val="22"/>
          <w:szCs w:val="22"/>
        </w:rPr>
        <w:t xml:space="preserve"> </w:t>
      </w:r>
      <w:r>
        <w:rPr>
          <w:rFonts w:ascii="Arial" w:eastAsia="Arial" w:hAnsi="Arial" w:cs="Arial"/>
          <w:sz w:val="22"/>
          <w:szCs w:val="22"/>
        </w:rPr>
        <w:t>e</w:t>
      </w:r>
      <w:r w:rsidRPr="00667A80">
        <w:rPr>
          <w:rFonts w:ascii="Arial" w:eastAsia="Arial" w:hAnsi="Arial" w:cs="Arial"/>
          <w:sz w:val="22"/>
          <w:szCs w:val="22"/>
        </w:rPr>
        <w:t>s el lugar donde ir a encontrar respuestas.</w:t>
      </w:r>
    </w:p>
    <w:p w:rsidR="00325687" w:rsidRDefault="00A272C9" w:rsidP="00A272C9">
      <w:r>
        <w:rPr>
          <w:rFonts w:ascii="Arial" w:eastAsia="Arial" w:hAnsi="Arial" w:cs="Arial"/>
          <w:sz w:val="22"/>
          <w:szCs w:val="22"/>
        </w:rPr>
        <w:t xml:space="preserve">El programa completo y las inscripciones pueden consultarse en </w:t>
      </w:r>
      <w:hyperlink r:id="rId6">
        <w:r w:rsidRPr="008762F5">
          <w:rPr>
            <w:rFonts w:ascii="Arial" w:eastAsia="Arial" w:hAnsi="Arial" w:cs="Arial"/>
            <w:sz w:val="22"/>
            <w:szCs w:val="22"/>
          </w:rPr>
          <w:t>www.atodotrigo.com.ar</w:t>
        </w:r>
      </w:hyperlink>
    </w:p>
    <w:sectPr w:rsidR="00325687" w:rsidSect="004E7E75">
      <w:headerReference w:type="default"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55AD" w:rsidRDefault="002755AD" w:rsidP="00A272C9">
      <w:r>
        <w:separator/>
      </w:r>
    </w:p>
  </w:endnote>
  <w:endnote w:type="continuationSeparator" w:id="0">
    <w:p w:rsidR="002755AD" w:rsidRDefault="002755AD" w:rsidP="00A2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72C9" w:rsidRPr="00A272C9" w:rsidRDefault="00A272C9" w:rsidP="00A272C9">
    <w:pPr>
      <w:shd w:val="clear" w:color="auto" w:fill="FFFFFF"/>
      <w:spacing w:before="240" w:after="240"/>
      <w:jc w:val="right"/>
      <w:rPr>
        <w:rFonts w:ascii="Arial" w:eastAsia="Arial" w:hAnsi="Arial" w:cs="Arial"/>
        <w:sz w:val="24"/>
        <w:szCs w:val="24"/>
      </w:rPr>
    </w:pPr>
    <w:r>
      <w:rPr>
        <w:rFonts w:ascii="Tahoma" w:eastAsia="Tahoma" w:hAnsi="Tahoma" w:cs="Tahoma"/>
        <w:color w:val="222222"/>
        <w:sz w:val="14"/>
        <w:szCs w:val="14"/>
      </w:rPr>
      <w:t>Prensa: SAVIA Comunicación</w:t>
    </w:r>
    <w:r>
      <w:rPr>
        <w:rFonts w:ascii="Tahoma" w:eastAsia="Tahoma" w:hAnsi="Tahoma" w:cs="Tahoma"/>
        <w:color w:val="222222"/>
        <w:sz w:val="14"/>
        <w:szCs w:val="14"/>
      </w:rPr>
      <w:br/>
      <w:t>Tel. +54 9 11 6967 2255 | +54 9 11 6052 0241</w:t>
    </w:r>
    <w:r>
      <w:rPr>
        <w:rFonts w:ascii="Tahoma" w:eastAsia="Tahoma" w:hAnsi="Tahoma" w:cs="Tahoma"/>
        <w:color w:val="222222"/>
        <w:sz w:val="14"/>
        <w:szCs w:val="14"/>
      </w:rPr>
      <w:br/>
    </w:r>
    <w:hyperlink r:id="rId1">
      <w:r>
        <w:rPr>
          <w:rFonts w:ascii="Tahoma" w:eastAsia="Tahoma" w:hAnsi="Tahoma" w:cs="Tahoma"/>
          <w:color w:val="0563C1"/>
          <w:sz w:val="14"/>
          <w:szCs w:val="14"/>
          <w:u w:val="single"/>
        </w:rPr>
        <w:t>prensa@saviacomunicacion.com.ar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55AD" w:rsidRDefault="002755AD" w:rsidP="00A272C9">
      <w:r>
        <w:separator/>
      </w:r>
    </w:p>
  </w:footnote>
  <w:footnote w:type="continuationSeparator" w:id="0">
    <w:p w:rsidR="002755AD" w:rsidRDefault="002755AD" w:rsidP="00A27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72C9" w:rsidRDefault="00A272C9" w:rsidP="00A272C9">
    <w:pPr>
      <w:pStyle w:val="Encabezado"/>
      <w:jc w:val="right"/>
      <w:rPr>
        <w:noProof/>
      </w:rPr>
    </w:pPr>
    <w:r w:rsidRPr="00127001">
      <w:rPr>
        <w:noProof/>
      </w:rPr>
      <w:drawing>
        <wp:inline distT="0" distB="0" distL="0" distR="0" wp14:anchorId="69CF6ACE" wp14:editId="55415FB0">
          <wp:extent cx="1095153" cy="1039102"/>
          <wp:effectExtent l="0" t="0" r="0" b="8890"/>
          <wp:docPr id="16906244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624428" name=""/>
                  <pic:cNvPicPr/>
                </pic:nvPicPr>
                <pic:blipFill>
                  <a:blip r:embed="rId1"/>
                  <a:stretch>
                    <a:fillRect/>
                  </a:stretch>
                </pic:blipFill>
                <pic:spPr>
                  <a:xfrm>
                    <a:off x="0" y="0"/>
                    <a:ext cx="1097399" cy="1041233"/>
                  </a:xfrm>
                  <a:prstGeom prst="rect">
                    <a:avLst/>
                  </a:prstGeom>
                </pic:spPr>
              </pic:pic>
            </a:graphicData>
          </a:graphic>
        </wp:inline>
      </w:drawing>
    </w:r>
    <w:r>
      <w:rPr>
        <w:noProof/>
      </w:rPr>
      <w:t xml:space="preserve">                                                                                     </w:t>
    </w:r>
    <w:r>
      <w:rPr>
        <w:noProof/>
      </w:rPr>
      <w:drawing>
        <wp:inline distT="114300" distB="114300" distL="114300" distR="114300" wp14:anchorId="4800D0A2" wp14:editId="6250ADB1">
          <wp:extent cx="1138959" cy="988599"/>
          <wp:effectExtent l="0" t="0" r="4445" b="254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12500"/>
                  <a:stretch>
                    <a:fillRect/>
                  </a:stretch>
                </pic:blipFill>
                <pic:spPr>
                  <a:xfrm>
                    <a:off x="0" y="0"/>
                    <a:ext cx="1146013" cy="994721"/>
                  </a:xfrm>
                  <a:prstGeom prst="rect">
                    <a:avLst/>
                  </a:prstGeom>
                  <a:ln/>
                </pic:spPr>
              </pic:pic>
            </a:graphicData>
          </a:graphic>
        </wp:inline>
      </w:drawing>
    </w:r>
  </w:p>
  <w:p w:rsidR="00A272C9" w:rsidRDefault="00A272C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2C9"/>
    <w:rsid w:val="002755AD"/>
    <w:rsid w:val="00325687"/>
    <w:rsid w:val="004E7E75"/>
    <w:rsid w:val="00762BC8"/>
    <w:rsid w:val="007E19BA"/>
    <w:rsid w:val="00A272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38D68D3"/>
  <w15:chartTrackingRefBased/>
  <w15:docId w15:val="{DC36B362-D82D-4D41-931D-364C8495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2C9"/>
    <w:rPr>
      <w:rFonts w:ascii="Times New Roman" w:eastAsia="Times New Roman" w:hAnsi="Times New Roman" w:cs="Times New Roman"/>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72C9"/>
    <w:pPr>
      <w:tabs>
        <w:tab w:val="center" w:pos="4419"/>
        <w:tab w:val="right" w:pos="8838"/>
      </w:tabs>
    </w:pPr>
    <w:rPr>
      <w:rFonts w:asciiTheme="minorHAnsi" w:eastAsiaTheme="minorHAnsi" w:hAnsiTheme="minorHAnsi" w:cstheme="minorBidi"/>
      <w:kern w:val="2"/>
      <w:sz w:val="24"/>
      <w:szCs w:val="24"/>
      <w:lang w:val="es-ES" w:eastAsia="en-US"/>
      <w14:ligatures w14:val="standardContextual"/>
    </w:rPr>
  </w:style>
  <w:style w:type="character" w:customStyle="1" w:styleId="EncabezadoCar">
    <w:name w:val="Encabezado Car"/>
    <w:basedOn w:val="Fuentedeprrafopredeter"/>
    <w:link w:val="Encabezado"/>
    <w:uiPriority w:val="99"/>
    <w:rsid w:val="00A272C9"/>
    <w:rPr>
      <w:lang w:val="es-ES"/>
    </w:rPr>
  </w:style>
  <w:style w:type="paragraph" w:styleId="Piedepgina">
    <w:name w:val="footer"/>
    <w:basedOn w:val="Normal"/>
    <w:link w:val="PiedepginaCar"/>
    <w:uiPriority w:val="99"/>
    <w:unhideWhenUsed/>
    <w:rsid w:val="00A272C9"/>
    <w:pPr>
      <w:tabs>
        <w:tab w:val="center" w:pos="4419"/>
        <w:tab w:val="right" w:pos="8838"/>
      </w:tabs>
    </w:pPr>
    <w:rPr>
      <w:rFonts w:asciiTheme="minorHAnsi" w:eastAsiaTheme="minorHAnsi" w:hAnsiTheme="minorHAnsi" w:cstheme="minorBidi"/>
      <w:kern w:val="2"/>
      <w:sz w:val="24"/>
      <w:szCs w:val="24"/>
      <w:lang w:val="es-ES" w:eastAsia="en-US"/>
      <w14:ligatures w14:val="standardContextual"/>
    </w:rPr>
  </w:style>
  <w:style w:type="character" w:customStyle="1" w:styleId="PiedepginaCar">
    <w:name w:val="Pie de página Car"/>
    <w:basedOn w:val="Fuentedeprrafopredeter"/>
    <w:link w:val="Piedepgina"/>
    <w:uiPriority w:val="99"/>
    <w:rsid w:val="00A272C9"/>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odotrigo.com.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3045</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2026-05-06T18:13:00Z</dcterms:created>
  <dcterms:modified xsi:type="dcterms:W3CDTF">2026-05-06T18:15:00Z</dcterms:modified>
</cp:coreProperties>
</file>