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E4E3" w14:textId="2FFEF628" w:rsidR="00A8456B" w:rsidRDefault="00A8456B" w:rsidP="00A8456B">
      <w:pPr>
        <w:spacing w:line="276" w:lineRule="auto"/>
        <w:jc w:val="both"/>
        <w:rPr>
          <w:rFonts w:ascii="Noto Sans" w:hAnsi="Noto Sans" w:cs="Noto Sans"/>
          <w:b/>
          <w:bCs/>
          <w:i/>
          <w:iCs/>
          <w:sz w:val="32"/>
          <w:szCs w:val="32"/>
        </w:rPr>
      </w:pPr>
      <w:r w:rsidRPr="00A8456B">
        <w:rPr>
          <w:rFonts w:ascii="Noto Sans" w:hAnsi="Noto Sans" w:cs="Noto Sans"/>
          <w:b/>
          <w:bCs/>
          <w:sz w:val="32"/>
          <w:szCs w:val="32"/>
        </w:rPr>
        <w:t>UPL present</w:t>
      </w:r>
      <w:r w:rsidR="00E64E75">
        <w:rPr>
          <w:rFonts w:ascii="Noto Sans" w:hAnsi="Noto Sans" w:cs="Noto Sans"/>
          <w:b/>
          <w:bCs/>
          <w:sz w:val="32"/>
          <w:szCs w:val="32"/>
        </w:rPr>
        <w:t>ó</w:t>
      </w:r>
      <w:r w:rsidRPr="00A8456B">
        <w:rPr>
          <w:rFonts w:ascii="Noto Sans" w:hAnsi="Noto Sans" w:cs="Noto Sans"/>
          <w:b/>
          <w:bCs/>
          <w:sz w:val="32"/>
          <w:szCs w:val="32"/>
        </w:rPr>
        <w:t xml:space="preserve"> </w:t>
      </w:r>
      <w:proofErr w:type="spellStart"/>
      <w:r w:rsidRPr="00A8456B">
        <w:rPr>
          <w:rFonts w:ascii="Noto Sans" w:hAnsi="Noto Sans" w:cs="Noto Sans"/>
          <w:b/>
          <w:bCs/>
          <w:sz w:val="32"/>
          <w:szCs w:val="32"/>
        </w:rPr>
        <w:t>B</w:t>
      </w:r>
      <w:r w:rsidR="00BE5C96">
        <w:rPr>
          <w:rFonts w:ascii="Noto Sans" w:hAnsi="Noto Sans" w:cs="Noto Sans"/>
          <w:b/>
          <w:bCs/>
          <w:sz w:val="32"/>
          <w:szCs w:val="32"/>
        </w:rPr>
        <w:t>atalium</w:t>
      </w:r>
      <w:proofErr w:type="spellEnd"/>
      <w:r w:rsidR="00423CFD">
        <w:rPr>
          <w:rFonts w:ascii="Noto Sans" w:hAnsi="Noto Sans" w:cs="Noto Sans"/>
          <w:b/>
          <w:bCs/>
          <w:sz w:val="32"/>
          <w:szCs w:val="32"/>
        </w:rPr>
        <w:t>®</w:t>
      </w:r>
      <w:r w:rsidRPr="00A8456B">
        <w:rPr>
          <w:rFonts w:ascii="Noto Sans" w:hAnsi="Noto Sans" w:cs="Noto Sans"/>
          <w:b/>
          <w:bCs/>
          <w:sz w:val="32"/>
          <w:szCs w:val="32"/>
        </w:rPr>
        <w:t xml:space="preserve"> Pro, </w:t>
      </w:r>
      <w:r w:rsidR="00AF1CB7">
        <w:rPr>
          <w:rFonts w:ascii="Noto Sans" w:hAnsi="Noto Sans" w:cs="Noto Sans"/>
          <w:b/>
          <w:bCs/>
          <w:sz w:val="32"/>
          <w:szCs w:val="32"/>
        </w:rPr>
        <w:t xml:space="preserve">el único herbicida </w:t>
      </w:r>
      <w:proofErr w:type="spellStart"/>
      <w:r w:rsidR="00AF1CB7">
        <w:rPr>
          <w:rFonts w:ascii="Noto Sans" w:hAnsi="Noto Sans" w:cs="Noto Sans"/>
          <w:b/>
          <w:bCs/>
          <w:sz w:val="32"/>
          <w:szCs w:val="32"/>
        </w:rPr>
        <w:t>postemergente</w:t>
      </w:r>
      <w:proofErr w:type="spellEnd"/>
      <w:r w:rsidR="00AF1CB7">
        <w:rPr>
          <w:rFonts w:ascii="Noto Sans" w:hAnsi="Noto Sans" w:cs="Noto Sans"/>
          <w:b/>
          <w:bCs/>
          <w:sz w:val="32"/>
          <w:szCs w:val="32"/>
        </w:rPr>
        <w:t xml:space="preserve"> </w:t>
      </w:r>
      <w:r w:rsidR="006E1411">
        <w:rPr>
          <w:rFonts w:ascii="Noto Sans" w:hAnsi="Noto Sans" w:cs="Noto Sans"/>
          <w:b/>
          <w:bCs/>
          <w:sz w:val="32"/>
          <w:szCs w:val="32"/>
        </w:rPr>
        <w:t xml:space="preserve">y con tres modos de acción </w:t>
      </w:r>
      <w:r w:rsidR="00AF1CB7">
        <w:rPr>
          <w:rFonts w:ascii="Noto Sans" w:hAnsi="Noto Sans" w:cs="Noto Sans"/>
          <w:b/>
          <w:bCs/>
          <w:sz w:val="32"/>
          <w:szCs w:val="32"/>
        </w:rPr>
        <w:t>para el cultivo de trigo</w:t>
      </w:r>
      <w:r w:rsidRPr="00A8456B">
        <w:rPr>
          <w:rFonts w:ascii="Noto Sans" w:hAnsi="Noto Sans" w:cs="Noto Sans"/>
          <w:b/>
          <w:bCs/>
          <w:i/>
          <w:iCs/>
          <w:sz w:val="32"/>
          <w:szCs w:val="32"/>
        </w:rPr>
        <w:t xml:space="preserve"> </w:t>
      </w:r>
    </w:p>
    <w:p w14:paraId="3BA6C9FD" w14:textId="080A85E0" w:rsidR="00AF1CB7" w:rsidRDefault="00AE356F" w:rsidP="00A8456B">
      <w:pPr>
        <w:spacing w:line="276" w:lineRule="auto"/>
        <w:jc w:val="both"/>
        <w:rPr>
          <w:rFonts w:ascii="Noto Sans" w:hAnsi="Noto Sans" w:cs="Noto Sans"/>
          <w:i/>
          <w:iCs/>
        </w:rPr>
      </w:pPr>
      <w:r>
        <w:rPr>
          <w:rFonts w:ascii="Noto Sans" w:hAnsi="Noto Sans" w:cs="Noto Sans"/>
          <w:i/>
          <w:iCs/>
        </w:rPr>
        <w:t>Su</w:t>
      </w:r>
      <w:r w:rsidR="006E1411">
        <w:rPr>
          <w:rFonts w:ascii="Noto Sans" w:hAnsi="Noto Sans" w:cs="Noto Sans"/>
          <w:i/>
          <w:iCs/>
        </w:rPr>
        <w:t xml:space="preserve"> formulación </w:t>
      </w:r>
      <w:r>
        <w:rPr>
          <w:rFonts w:ascii="Noto Sans" w:hAnsi="Noto Sans" w:cs="Noto Sans"/>
          <w:i/>
          <w:iCs/>
        </w:rPr>
        <w:t xml:space="preserve">permite controlar con alta eficiencia </w:t>
      </w:r>
      <w:r w:rsidR="00AF1CB7">
        <w:rPr>
          <w:rFonts w:ascii="Noto Sans" w:hAnsi="Noto Sans" w:cs="Noto Sans"/>
          <w:i/>
          <w:iCs/>
        </w:rPr>
        <w:t xml:space="preserve">las tres principales malezas del cultivo de trigo en una etapa en </w:t>
      </w:r>
      <w:r w:rsidR="006E1411">
        <w:rPr>
          <w:rFonts w:ascii="Noto Sans" w:hAnsi="Noto Sans" w:cs="Noto Sans"/>
          <w:i/>
          <w:iCs/>
        </w:rPr>
        <w:t xml:space="preserve">la </w:t>
      </w:r>
      <w:r w:rsidR="00AF1CB7">
        <w:rPr>
          <w:rFonts w:ascii="Noto Sans" w:hAnsi="Noto Sans" w:cs="Noto Sans"/>
          <w:i/>
          <w:iCs/>
        </w:rPr>
        <w:t>que ninguna otra herramienta puede actuar.</w:t>
      </w:r>
    </w:p>
    <w:p w14:paraId="692EFDF9" w14:textId="7927AEE0" w:rsidR="00A8456B" w:rsidRDefault="00A8456B" w:rsidP="00A8456B">
      <w:pPr>
        <w:spacing w:line="276" w:lineRule="auto"/>
        <w:jc w:val="both"/>
        <w:rPr>
          <w:rFonts w:ascii="Noto Sans" w:hAnsi="Noto Sans" w:cs="Noto Sans"/>
        </w:rPr>
      </w:pPr>
      <w:r w:rsidRPr="00A8456B">
        <w:rPr>
          <w:rFonts w:ascii="Noto Sans" w:hAnsi="Noto Sans" w:cs="Noto Sans"/>
        </w:rPr>
        <w:t>UPL Corp Argentina eligió</w:t>
      </w:r>
      <w:r w:rsidR="00AF1CB7">
        <w:rPr>
          <w:rFonts w:ascii="Noto Sans" w:hAnsi="Noto Sans" w:cs="Noto Sans"/>
        </w:rPr>
        <w:t xml:space="preserve"> el congreso</w:t>
      </w:r>
      <w:r w:rsidRPr="00A8456B">
        <w:rPr>
          <w:rFonts w:ascii="Noto Sans" w:hAnsi="Noto Sans" w:cs="Noto Sans"/>
        </w:rPr>
        <w:t xml:space="preserve"> A Todo Trigo 2026 para presentar oficialmente </w:t>
      </w:r>
      <w:proofErr w:type="spellStart"/>
      <w:r w:rsidRPr="00A8456B">
        <w:rPr>
          <w:rFonts w:ascii="Noto Sans" w:hAnsi="Noto Sans" w:cs="Noto Sans"/>
        </w:rPr>
        <w:t>B</w:t>
      </w:r>
      <w:r w:rsidR="00BE5C96">
        <w:rPr>
          <w:rFonts w:ascii="Noto Sans" w:hAnsi="Noto Sans" w:cs="Noto Sans"/>
        </w:rPr>
        <w:t>atalium</w:t>
      </w:r>
      <w:proofErr w:type="spellEnd"/>
      <w:r w:rsidR="00423CFD">
        <w:rPr>
          <w:rFonts w:ascii="Noto Sans" w:hAnsi="Noto Sans" w:cs="Noto Sans"/>
        </w:rPr>
        <w:t>®</w:t>
      </w:r>
      <w:r w:rsidRPr="00A8456B">
        <w:rPr>
          <w:rFonts w:ascii="Noto Sans" w:hAnsi="Noto Sans" w:cs="Noto Sans"/>
        </w:rPr>
        <w:t xml:space="preserve"> Pro, </w:t>
      </w:r>
      <w:r w:rsidR="00AF1CB7">
        <w:rPr>
          <w:rFonts w:ascii="Noto Sans" w:hAnsi="Noto Sans" w:cs="Noto Sans"/>
        </w:rPr>
        <w:t xml:space="preserve">el primer </w:t>
      </w:r>
      <w:r w:rsidRPr="00A8456B">
        <w:rPr>
          <w:rFonts w:ascii="Noto Sans" w:hAnsi="Noto Sans" w:cs="Noto Sans"/>
        </w:rPr>
        <w:t xml:space="preserve">herbicida </w:t>
      </w:r>
      <w:proofErr w:type="spellStart"/>
      <w:r w:rsidRPr="00A8456B">
        <w:rPr>
          <w:rFonts w:ascii="Noto Sans" w:hAnsi="Noto Sans" w:cs="Noto Sans"/>
        </w:rPr>
        <w:t>postemergente</w:t>
      </w:r>
      <w:proofErr w:type="spellEnd"/>
      <w:r w:rsidRPr="00A8456B">
        <w:rPr>
          <w:rFonts w:ascii="Noto Sans" w:hAnsi="Noto Sans" w:cs="Noto Sans"/>
        </w:rPr>
        <w:t xml:space="preserve"> diseñado para el control de </w:t>
      </w:r>
      <w:proofErr w:type="spellStart"/>
      <w:r w:rsidRPr="00A8456B">
        <w:rPr>
          <w:rFonts w:ascii="Noto Sans" w:hAnsi="Noto Sans" w:cs="Noto Sans"/>
        </w:rPr>
        <w:t>rye</w:t>
      </w:r>
      <w:proofErr w:type="spellEnd"/>
      <w:r w:rsidRPr="00A8456B">
        <w:rPr>
          <w:rFonts w:ascii="Noto Sans" w:hAnsi="Noto Sans" w:cs="Noto Sans"/>
        </w:rPr>
        <w:t xml:space="preserve"> </w:t>
      </w:r>
      <w:proofErr w:type="spellStart"/>
      <w:r w:rsidRPr="00A8456B">
        <w:rPr>
          <w:rFonts w:ascii="Noto Sans" w:hAnsi="Noto Sans" w:cs="Noto Sans"/>
        </w:rPr>
        <w:t>grass</w:t>
      </w:r>
      <w:proofErr w:type="spellEnd"/>
      <w:r w:rsidRPr="00A8456B">
        <w:rPr>
          <w:rFonts w:ascii="Noto Sans" w:hAnsi="Noto Sans" w:cs="Noto Sans"/>
        </w:rPr>
        <w:t>, avena negra y crucífera</w:t>
      </w:r>
      <w:r w:rsidR="00AF1CB7">
        <w:rPr>
          <w:rFonts w:ascii="Noto Sans" w:hAnsi="Noto Sans" w:cs="Noto Sans"/>
        </w:rPr>
        <w:t>s</w:t>
      </w:r>
      <w:r w:rsidRPr="00A8456B">
        <w:rPr>
          <w:rFonts w:ascii="Noto Sans" w:hAnsi="Noto Sans" w:cs="Noto Sans"/>
        </w:rPr>
        <w:t xml:space="preserve">, las principales malezas problemáticas en el cultivo de trigo. Su formulación combina tres modos de acción distintos, lo que le otorga alta eficacia sobre malezas ya nacidas, persistencia frente a nuevas emergencias y capacidad para mitigar el desarrollo de resistencias. </w:t>
      </w:r>
    </w:p>
    <w:p w14:paraId="4FC6FEF5" w14:textId="17E841C6" w:rsidR="00A8456B" w:rsidRPr="00A8456B" w:rsidRDefault="00A8456B" w:rsidP="00A8456B">
      <w:pPr>
        <w:spacing w:line="276" w:lineRule="auto"/>
        <w:jc w:val="both"/>
        <w:rPr>
          <w:rFonts w:ascii="Noto Sans" w:hAnsi="Noto Sans" w:cs="Noto Sans"/>
        </w:rPr>
      </w:pPr>
      <w:r w:rsidRPr="00A8456B">
        <w:rPr>
          <w:rFonts w:ascii="Noto Sans" w:hAnsi="Noto Sans" w:cs="Noto Sans"/>
        </w:rPr>
        <w:t xml:space="preserve">Con una dosis de aplicación de tan solo 500 gramos por hectárea, </w:t>
      </w:r>
      <w:proofErr w:type="spellStart"/>
      <w:r w:rsidR="00BE5C96" w:rsidRPr="00A8456B">
        <w:rPr>
          <w:rFonts w:ascii="Noto Sans" w:hAnsi="Noto Sans" w:cs="Noto Sans"/>
        </w:rPr>
        <w:t>B</w:t>
      </w:r>
      <w:r w:rsidR="00BE5C96">
        <w:rPr>
          <w:rFonts w:ascii="Noto Sans" w:hAnsi="Noto Sans" w:cs="Noto Sans"/>
        </w:rPr>
        <w:t>atalium</w:t>
      </w:r>
      <w:proofErr w:type="spellEnd"/>
      <w:r w:rsidR="00423CFD">
        <w:rPr>
          <w:rFonts w:ascii="Noto Sans" w:hAnsi="Noto Sans" w:cs="Noto Sans"/>
        </w:rPr>
        <w:t>®</w:t>
      </w:r>
      <w:r w:rsidRPr="00A8456B">
        <w:rPr>
          <w:rFonts w:ascii="Noto Sans" w:hAnsi="Noto Sans" w:cs="Noto Sans"/>
        </w:rPr>
        <w:t xml:space="preserve"> Pro se posiciona como una herramienta estratégica para el manejo de malezas de difícil control</w:t>
      </w:r>
      <w:r w:rsidR="00AF1CB7">
        <w:rPr>
          <w:rFonts w:ascii="Noto Sans" w:hAnsi="Noto Sans" w:cs="Noto Sans"/>
        </w:rPr>
        <w:t xml:space="preserve"> en un momento en que ningún otro herbicida puede hacerlo</w:t>
      </w:r>
      <w:r w:rsidR="00AE356F">
        <w:rPr>
          <w:rFonts w:ascii="Noto Sans" w:hAnsi="Noto Sans" w:cs="Noto Sans"/>
        </w:rPr>
        <w:t xml:space="preserve"> de manera eficaz</w:t>
      </w:r>
      <w:r w:rsidR="00AF1CB7">
        <w:rPr>
          <w:rFonts w:ascii="Noto Sans" w:hAnsi="Noto Sans" w:cs="Noto Sans"/>
        </w:rPr>
        <w:t>.</w:t>
      </w:r>
    </w:p>
    <w:p w14:paraId="202FEE99" w14:textId="16BE8D89" w:rsidR="00A8456B" w:rsidRPr="00A8456B" w:rsidRDefault="00AE356F" w:rsidP="00A8456B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Es un</w:t>
      </w:r>
      <w:r w:rsidR="000E2A41">
        <w:rPr>
          <w:rFonts w:ascii="Noto Sans" w:hAnsi="Noto Sans" w:cs="Noto Sans"/>
        </w:rPr>
        <w:t xml:space="preserve">a solución que </w:t>
      </w:r>
      <w:r w:rsidR="00A8456B" w:rsidRPr="00A8456B">
        <w:rPr>
          <w:rFonts w:ascii="Noto Sans" w:hAnsi="Noto Sans" w:cs="Noto Sans"/>
        </w:rPr>
        <w:t xml:space="preserve">actúa sobre las tres malezas objetivo en simultáneo, incluyendo las emergencias secundarias que compiten con el cultivo en otoño e invierno por luz, agua y nutrientes. La combinación de tres ingredientes activos con modos de acción diferenciados no solo potencia la sinergia entre componentes y maximiza el control, sino que también retarda la aparición de nuevas resistencias en las poblaciones de malezas, un factor crítico dado el escenario actual de resistencias múltiples </w:t>
      </w:r>
      <w:r w:rsidR="00947112">
        <w:rPr>
          <w:rFonts w:ascii="Noto Sans" w:hAnsi="Noto Sans" w:cs="Noto Sans"/>
        </w:rPr>
        <w:t>en lotes de trigo</w:t>
      </w:r>
      <w:r w:rsidR="00A8456B" w:rsidRPr="00A8456B">
        <w:rPr>
          <w:rFonts w:ascii="Noto Sans" w:hAnsi="Noto Sans" w:cs="Noto Sans"/>
        </w:rPr>
        <w:t>.</w:t>
      </w:r>
    </w:p>
    <w:p w14:paraId="7D5AD3CE" w14:textId="31ADC536" w:rsidR="00A8456B" w:rsidRPr="00A8456B" w:rsidRDefault="00AF1CB7" w:rsidP="00A8456B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“</w:t>
      </w:r>
      <w:r w:rsidR="00A8456B" w:rsidRPr="00A8456B">
        <w:rPr>
          <w:rFonts w:ascii="Noto Sans" w:hAnsi="Noto Sans" w:cs="Noto Sans"/>
        </w:rPr>
        <w:t xml:space="preserve">En los últimos diez años, el manejo de malezas en el cultivo de trigo se volvió progresivamente más complejo. </w:t>
      </w:r>
      <w:r w:rsidR="00947112">
        <w:rPr>
          <w:rFonts w:ascii="Noto Sans" w:hAnsi="Noto Sans" w:cs="Noto Sans"/>
        </w:rPr>
        <w:t>E</w:t>
      </w:r>
      <w:r w:rsidR="00947112" w:rsidRPr="00A8456B">
        <w:rPr>
          <w:rFonts w:ascii="Noto Sans" w:hAnsi="Noto Sans" w:cs="Noto Sans"/>
        </w:rPr>
        <w:t>n el sudeste y sudoeste de la provincia de Buenos Aires</w:t>
      </w:r>
      <w:r w:rsidR="00947112">
        <w:rPr>
          <w:rFonts w:ascii="Noto Sans" w:hAnsi="Noto Sans" w:cs="Noto Sans"/>
        </w:rPr>
        <w:t>, zona triguera por excelencia, e</w:t>
      </w:r>
      <w:r w:rsidR="00A8456B" w:rsidRPr="00A8456B">
        <w:rPr>
          <w:rFonts w:ascii="Noto Sans" w:hAnsi="Noto Sans" w:cs="Noto Sans"/>
        </w:rPr>
        <w:t xml:space="preserve">l proceso comenzó con la expansión del </w:t>
      </w:r>
      <w:proofErr w:type="spellStart"/>
      <w:r w:rsidR="00A8456B" w:rsidRPr="00A8456B">
        <w:rPr>
          <w:rFonts w:ascii="Noto Sans" w:hAnsi="Noto Sans" w:cs="Noto Sans"/>
        </w:rPr>
        <w:t>rye</w:t>
      </w:r>
      <w:proofErr w:type="spellEnd"/>
      <w:r w:rsidR="00A8456B" w:rsidRPr="00A8456B">
        <w:rPr>
          <w:rFonts w:ascii="Noto Sans" w:hAnsi="Noto Sans" w:cs="Noto Sans"/>
        </w:rPr>
        <w:t xml:space="preserve"> </w:t>
      </w:r>
      <w:proofErr w:type="spellStart"/>
      <w:r w:rsidR="00A8456B" w:rsidRPr="00A8456B">
        <w:rPr>
          <w:rFonts w:ascii="Noto Sans" w:hAnsi="Noto Sans" w:cs="Noto Sans"/>
        </w:rPr>
        <w:t>grass</w:t>
      </w:r>
      <w:proofErr w:type="spellEnd"/>
      <w:r w:rsidR="00A8456B" w:rsidRPr="00A8456B">
        <w:rPr>
          <w:rFonts w:ascii="Noto Sans" w:hAnsi="Noto Sans" w:cs="Noto Sans"/>
        </w:rPr>
        <w:t xml:space="preserve">, al que se sumaron luego la avena negra y distintas especies de crucíferas entre ellas </w:t>
      </w:r>
      <w:r w:rsidR="006E1411">
        <w:rPr>
          <w:rFonts w:ascii="Noto Sans" w:hAnsi="Noto Sans" w:cs="Noto Sans"/>
        </w:rPr>
        <w:t>n</w:t>
      </w:r>
      <w:r w:rsidR="002410E2">
        <w:rPr>
          <w:rFonts w:ascii="Noto Sans" w:hAnsi="Noto Sans" w:cs="Noto Sans"/>
        </w:rPr>
        <w:t>abo (</w:t>
      </w:r>
      <w:r w:rsidR="00A8456B" w:rsidRPr="00A8456B">
        <w:rPr>
          <w:rFonts w:ascii="Noto Sans" w:hAnsi="Noto Sans" w:cs="Noto Sans"/>
          <w:i/>
          <w:iCs/>
        </w:rPr>
        <w:t>Brassica rapa</w:t>
      </w:r>
      <w:r w:rsidR="002410E2">
        <w:rPr>
          <w:rFonts w:ascii="Noto Sans" w:hAnsi="Noto Sans" w:cs="Noto Sans"/>
          <w:i/>
          <w:iCs/>
        </w:rPr>
        <w:t>)</w:t>
      </w:r>
      <w:r w:rsidR="00A8456B" w:rsidRPr="00A8456B">
        <w:rPr>
          <w:rFonts w:ascii="Noto Sans" w:hAnsi="Noto Sans" w:cs="Noto Sans"/>
        </w:rPr>
        <w:t>, en zonas serranas como Tandil, Azul y Balcarce</w:t>
      </w:r>
      <w:r w:rsidR="00947112">
        <w:rPr>
          <w:rFonts w:ascii="Noto Sans" w:hAnsi="Noto Sans" w:cs="Noto Sans"/>
        </w:rPr>
        <w:t>;</w:t>
      </w:r>
      <w:r w:rsidR="00A8456B" w:rsidRPr="00A8456B">
        <w:rPr>
          <w:rFonts w:ascii="Noto Sans" w:hAnsi="Noto Sans" w:cs="Noto Sans"/>
        </w:rPr>
        <w:t xml:space="preserve"> </w:t>
      </w:r>
      <w:proofErr w:type="gramStart"/>
      <w:r w:rsidR="002410E2">
        <w:rPr>
          <w:rFonts w:ascii="Noto Sans" w:hAnsi="Noto Sans" w:cs="Noto Sans"/>
        </w:rPr>
        <w:t xml:space="preserve">y </w:t>
      </w:r>
      <w:r w:rsidR="00A8456B" w:rsidRPr="00A8456B">
        <w:rPr>
          <w:rFonts w:ascii="Noto Sans" w:hAnsi="Noto Sans" w:cs="Noto Sans"/>
        </w:rPr>
        <w:t xml:space="preserve"> </w:t>
      </w:r>
      <w:r w:rsidR="006E1411">
        <w:rPr>
          <w:rFonts w:ascii="Noto Sans" w:hAnsi="Noto Sans" w:cs="Noto Sans"/>
        </w:rPr>
        <w:t>m</w:t>
      </w:r>
      <w:r w:rsidR="002410E2">
        <w:rPr>
          <w:rFonts w:ascii="Noto Sans" w:hAnsi="Noto Sans" w:cs="Noto Sans"/>
        </w:rPr>
        <w:t>ostaza</w:t>
      </w:r>
      <w:proofErr w:type="gramEnd"/>
      <w:r w:rsidR="002410E2">
        <w:rPr>
          <w:rFonts w:ascii="Noto Sans" w:hAnsi="Noto Sans" w:cs="Noto Sans"/>
        </w:rPr>
        <w:t xml:space="preserve"> ( </w:t>
      </w:r>
      <w:proofErr w:type="spellStart"/>
      <w:r w:rsidR="00A8456B" w:rsidRPr="00A8456B">
        <w:rPr>
          <w:rFonts w:ascii="Noto Sans" w:hAnsi="Noto Sans" w:cs="Noto Sans"/>
          <w:i/>
          <w:iCs/>
        </w:rPr>
        <w:t>Hirschfeldia</w:t>
      </w:r>
      <w:proofErr w:type="spellEnd"/>
      <w:r w:rsidR="00A8456B" w:rsidRPr="00A8456B">
        <w:rPr>
          <w:rFonts w:ascii="Noto Sans" w:hAnsi="Noto Sans" w:cs="Noto Sans"/>
        </w:rPr>
        <w:t xml:space="preserve"> </w:t>
      </w:r>
      <w:proofErr w:type="spellStart"/>
      <w:r w:rsidR="002410E2" w:rsidRPr="000478D8">
        <w:rPr>
          <w:rFonts w:ascii="Noto Sans" w:hAnsi="Noto Sans" w:cs="Noto Sans"/>
          <w:i/>
          <w:iCs/>
        </w:rPr>
        <w:t>incana</w:t>
      </w:r>
      <w:proofErr w:type="spellEnd"/>
      <w:r w:rsidR="002410E2">
        <w:rPr>
          <w:rFonts w:ascii="Noto Sans" w:hAnsi="Noto Sans" w:cs="Noto Sans"/>
        </w:rPr>
        <w:t>)</w:t>
      </w:r>
      <w:r w:rsidR="00A8456B" w:rsidRPr="00A8456B">
        <w:rPr>
          <w:rFonts w:ascii="Noto Sans" w:hAnsi="Noto Sans" w:cs="Noto Sans"/>
        </w:rPr>
        <w:t xml:space="preserve">en el norte de Buenos Aires, sur de Santa Fe y parte de Entre Ríos. La presión de selección ejercida por el uso reiterado de los mismos herbicidas derivó en </w:t>
      </w:r>
      <w:r w:rsidR="00947112">
        <w:rPr>
          <w:rFonts w:ascii="Noto Sans" w:hAnsi="Noto Sans" w:cs="Noto Sans"/>
        </w:rPr>
        <w:t>mayor</w:t>
      </w:r>
      <w:r w:rsidR="00A8456B" w:rsidRPr="00A8456B">
        <w:rPr>
          <w:rFonts w:ascii="Noto Sans" w:hAnsi="Noto Sans" w:cs="Noto Sans"/>
        </w:rPr>
        <w:t xml:space="preserve"> resistencia a inhibidores de ALS y </w:t>
      </w:r>
      <w:proofErr w:type="spellStart"/>
      <w:r w:rsidR="00A8456B" w:rsidRPr="00A8456B">
        <w:rPr>
          <w:rFonts w:ascii="Noto Sans" w:hAnsi="Noto Sans" w:cs="Noto Sans"/>
        </w:rPr>
        <w:t>ACCasa</w:t>
      </w:r>
      <w:proofErr w:type="spellEnd"/>
      <w:r w:rsidR="00A8456B" w:rsidRPr="00A8456B">
        <w:rPr>
          <w:rFonts w:ascii="Noto Sans" w:hAnsi="Noto Sans" w:cs="Noto Sans"/>
        </w:rPr>
        <w:t xml:space="preserve">, reduciendo </w:t>
      </w:r>
      <w:r w:rsidR="00A8456B" w:rsidRPr="00A8456B">
        <w:rPr>
          <w:rFonts w:ascii="Noto Sans" w:hAnsi="Noto Sans" w:cs="Noto Sans"/>
        </w:rPr>
        <w:lastRenderedPageBreak/>
        <w:t>progresivamente la eficacia de las herramientas disponibles</w:t>
      </w:r>
      <w:r>
        <w:rPr>
          <w:rFonts w:ascii="Noto Sans" w:hAnsi="Noto Sans" w:cs="Noto Sans"/>
        </w:rPr>
        <w:t xml:space="preserve">”, </w:t>
      </w:r>
      <w:r w:rsidR="00423CFD">
        <w:rPr>
          <w:rFonts w:ascii="Noto Sans" w:hAnsi="Noto Sans" w:cs="Noto Sans"/>
        </w:rPr>
        <w:t>relató</w:t>
      </w:r>
      <w:r>
        <w:rPr>
          <w:rFonts w:ascii="Noto Sans" w:hAnsi="Noto Sans" w:cs="Noto Sans"/>
        </w:rPr>
        <w:t xml:space="preserve"> Pablo Angeletti, gerente de herbicidas de UPL </w:t>
      </w:r>
      <w:proofErr w:type="spellStart"/>
      <w:r>
        <w:rPr>
          <w:rFonts w:ascii="Noto Sans" w:hAnsi="Noto Sans" w:cs="Noto Sans"/>
        </w:rPr>
        <w:t>Corp</w:t>
      </w:r>
      <w:proofErr w:type="spellEnd"/>
      <w:r>
        <w:rPr>
          <w:rFonts w:ascii="Noto Sans" w:hAnsi="Noto Sans" w:cs="Noto Sans"/>
        </w:rPr>
        <w:t xml:space="preserve"> </w:t>
      </w:r>
      <w:proofErr w:type="spellStart"/>
      <w:r>
        <w:rPr>
          <w:rFonts w:ascii="Noto Sans" w:hAnsi="Noto Sans" w:cs="Noto Sans"/>
        </w:rPr>
        <w:t>Latam</w:t>
      </w:r>
      <w:proofErr w:type="spellEnd"/>
      <w:r>
        <w:rPr>
          <w:rFonts w:ascii="Noto Sans" w:hAnsi="Noto Sans" w:cs="Noto Sans"/>
        </w:rPr>
        <w:t xml:space="preserve"> durante la presentación, de la que también participaron los especialistas Ramón Gigón y Marcos Yanniccari.</w:t>
      </w:r>
    </w:p>
    <w:p w14:paraId="207C7E19" w14:textId="49E56FCD" w:rsidR="00A8456B" w:rsidRPr="00A8456B" w:rsidRDefault="00423CFD" w:rsidP="00A8456B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“</w:t>
      </w:r>
      <w:r w:rsidR="00A8456B" w:rsidRPr="00A8456B">
        <w:rPr>
          <w:rFonts w:ascii="Noto Sans" w:hAnsi="Noto Sans" w:cs="Noto Sans"/>
        </w:rPr>
        <w:t>El escenario</w:t>
      </w:r>
      <w:r w:rsidR="00947112">
        <w:rPr>
          <w:rFonts w:ascii="Noto Sans" w:hAnsi="Noto Sans" w:cs="Noto Sans"/>
        </w:rPr>
        <w:t xml:space="preserve"> es más desafiante en el contexto actual</w:t>
      </w:r>
      <w:r>
        <w:rPr>
          <w:rFonts w:ascii="Noto Sans" w:hAnsi="Noto Sans" w:cs="Noto Sans"/>
        </w:rPr>
        <w:t xml:space="preserve"> -amplió Angeletti-</w:t>
      </w:r>
      <w:r w:rsidR="00947112">
        <w:rPr>
          <w:rFonts w:ascii="Noto Sans" w:hAnsi="Noto Sans" w:cs="Noto Sans"/>
        </w:rPr>
        <w:t>, dado que es</w:t>
      </w:r>
      <w:r w:rsidR="00A8456B" w:rsidRPr="00A8456B">
        <w:rPr>
          <w:rFonts w:ascii="Noto Sans" w:hAnsi="Noto Sans" w:cs="Noto Sans"/>
        </w:rPr>
        <w:t xml:space="preserve">tas malezas conviven en un mismo lote. Frente a esa realidad, los herbicidas individuales </w:t>
      </w:r>
      <w:r w:rsidR="00947112">
        <w:rPr>
          <w:rFonts w:ascii="Noto Sans" w:hAnsi="Noto Sans" w:cs="Noto Sans"/>
        </w:rPr>
        <w:t>y</w:t>
      </w:r>
      <w:r w:rsidR="00A8456B" w:rsidRPr="00A8456B">
        <w:rPr>
          <w:rFonts w:ascii="Noto Sans" w:hAnsi="Noto Sans" w:cs="Noto Sans"/>
        </w:rPr>
        <w:t xml:space="preserve"> las mezclas de dos activos resultan insuficientes para lograr un control adecuado</w:t>
      </w:r>
      <w:r>
        <w:rPr>
          <w:rFonts w:ascii="Noto Sans" w:hAnsi="Noto Sans" w:cs="Noto Sans"/>
        </w:rPr>
        <w:t>”</w:t>
      </w:r>
      <w:r w:rsidR="00A8456B" w:rsidRPr="00A8456B">
        <w:rPr>
          <w:rFonts w:ascii="Noto Sans" w:hAnsi="Noto Sans" w:cs="Noto Sans"/>
        </w:rPr>
        <w:t>.</w:t>
      </w:r>
      <w:r w:rsidR="00A8456B">
        <w:rPr>
          <w:rFonts w:ascii="Noto Sans" w:hAnsi="Noto Sans" w:cs="Noto Sans"/>
        </w:rPr>
        <w:t xml:space="preserve"> </w:t>
      </w:r>
      <w:r w:rsidR="00D5198C">
        <w:rPr>
          <w:rFonts w:ascii="Noto Sans" w:hAnsi="Noto Sans" w:cs="Noto Sans"/>
        </w:rPr>
        <w:t>S</w:t>
      </w:r>
      <w:r w:rsidR="00E64E75">
        <w:rPr>
          <w:rFonts w:ascii="Noto Sans" w:hAnsi="Noto Sans" w:cs="Noto Sans"/>
        </w:rPr>
        <w:t>obre esto</w:t>
      </w:r>
      <w:r w:rsidR="00A8456B">
        <w:rPr>
          <w:rFonts w:ascii="Noto Sans" w:hAnsi="Noto Sans" w:cs="Noto Sans"/>
        </w:rPr>
        <w:t>s fundamentos</w:t>
      </w:r>
      <w:r w:rsidR="00D5198C">
        <w:rPr>
          <w:rFonts w:ascii="Noto Sans" w:hAnsi="Noto Sans" w:cs="Noto Sans"/>
        </w:rPr>
        <w:t>,</w:t>
      </w:r>
      <w:r w:rsidR="00A8456B">
        <w:rPr>
          <w:rFonts w:ascii="Noto Sans" w:hAnsi="Noto Sans" w:cs="Noto Sans"/>
        </w:rPr>
        <w:t xml:space="preserve"> UPL,</w:t>
      </w:r>
      <w:r w:rsidR="00D5198C">
        <w:rPr>
          <w:rFonts w:ascii="Noto Sans" w:hAnsi="Noto Sans" w:cs="Noto Sans"/>
        </w:rPr>
        <w:t xml:space="preserve"> </w:t>
      </w:r>
      <w:r w:rsidR="00A8456B">
        <w:rPr>
          <w:rFonts w:ascii="Noto Sans" w:hAnsi="Noto Sans" w:cs="Noto Sans"/>
        </w:rPr>
        <w:t xml:space="preserve">líder mundial en protección de cultivos, decidió </w:t>
      </w:r>
      <w:r w:rsidR="00D5198C">
        <w:rPr>
          <w:rFonts w:ascii="Noto Sans" w:hAnsi="Noto Sans" w:cs="Noto Sans"/>
        </w:rPr>
        <w:t>desarrollar</w:t>
      </w:r>
      <w:r w:rsidR="00A8456B">
        <w:rPr>
          <w:rFonts w:ascii="Noto Sans" w:hAnsi="Noto Sans" w:cs="Noto Sans"/>
        </w:rPr>
        <w:t xml:space="preserve"> </w:t>
      </w:r>
      <w:proofErr w:type="spellStart"/>
      <w:r w:rsidR="00BE5C96" w:rsidRPr="00A8456B">
        <w:rPr>
          <w:rFonts w:ascii="Noto Sans" w:hAnsi="Noto Sans" w:cs="Noto Sans"/>
        </w:rPr>
        <w:t>B</w:t>
      </w:r>
      <w:r w:rsidR="00BE5C96">
        <w:rPr>
          <w:rFonts w:ascii="Noto Sans" w:hAnsi="Noto Sans" w:cs="Noto Sans"/>
        </w:rPr>
        <w:t>atalium</w:t>
      </w:r>
      <w:proofErr w:type="spellEnd"/>
      <w:r>
        <w:rPr>
          <w:rFonts w:ascii="Noto Sans" w:hAnsi="Noto Sans" w:cs="Noto Sans"/>
        </w:rPr>
        <w:t>®</w:t>
      </w:r>
      <w:r w:rsidR="00A8456B">
        <w:rPr>
          <w:rFonts w:ascii="Noto Sans" w:hAnsi="Noto Sans" w:cs="Noto Sans"/>
        </w:rPr>
        <w:t xml:space="preserve"> Pro.</w:t>
      </w:r>
    </w:p>
    <w:p w14:paraId="458DD996" w14:textId="72737963" w:rsidR="00E64E75" w:rsidRDefault="00423CFD" w:rsidP="00A8456B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Como es habitual para todas las herramientas herbicidas</w:t>
      </w:r>
      <w:r w:rsidR="00947112">
        <w:rPr>
          <w:rFonts w:ascii="Noto Sans" w:hAnsi="Noto Sans" w:cs="Noto Sans"/>
        </w:rPr>
        <w:t>, la aplicación</w:t>
      </w:r>
      <w:r w:rsidR="00A8456B" w:rsidRPr="00A8456B">
        <w:rPr>
          <w:rFonts w:ascii="Noto Sans" w:hAnsi="Noto Sans" w:cs="Noto Sans"/>
        </w:rPr>
        <w:t xml:space="preserve"> de </w:t>
      </w:r>
      <w:proofErr w:type="spellStart"/>
      <w:r w:rsidR="00BE5C96" w:rsidRPr="00A8456B">
        <w:rPr>
          <w:rFonts w:ascii="Noto Sans" w:hAnsi="Noto Sans" w:cs="Noto Sans"/>
        </w:rPr>
        <w:t>B</w:t>
      </w:r>
      <w:r w:rsidR="00BE5C96">
        <w:rPr>
          <w:rFonts w:ascii="Noto Sans" w:hAnsi="Noto Sans" w:cs="Noto Sans"/>
        </w:rPr>
        <w:t>atalium</w:t>
      </w:r>
      <w:proofErr w:type="spellEnd"/>
      <w:r>
        <w:rPr>
          <w:rFonts w:ascii="Noto Sans" w:hAnsi="Noto Sans" w:cs="Noto Sans"/>
        </w:rPr>
        <w:t>®</w:t>
      </w:r>
      <w:r w:rsidR="00A8456B" w:rsidRPr="00A8456B">
        <w:rPr>
          <w:rFonts w:ascii="Noto Sans" w:hAnsi="Noto Sans" w:cs="Noto Sans"/>
        </w:rPr>
        <w:t xml:space="preserve"> Pro </w:t>
      </w:r>
      <w:r>
        <w:rPr>
          <w:rFonts w:ascii="Noto Sans" w:hAnsi="Noto Sans" w:cs="Noto Sans"/>
        </w:rPr>
        <w:t>también se recomienda</w:t>
      </w:r>
      <w:r w:rsidR="00A8456B" w:rsidRPr="00A8456B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en</w:t>
      </w:r>
      <w:r w:rsidR="00A8456B" w:rsidRPr="00A8456B">
        <w:rPr>
          <w:rFonts w:ascii="Noto Sans" w:hAnsi="Noto Sans" w:cs="Noto Sans"/>
        </w:rPr>
        <w:t xml:space="preserve"> malezas en estadios tempranos</w:t>
      </w:r>
      <w:r w:rsidR="00A8456B">
        <w:rPr>
          <w:rFonts w:ascii="Noto Sans" w:hAnsi="Noto Sans" w:cs="Noto Sans"/>
        </w:rPr>
        <w:t>:</w:t>
      </w:r>
      <w:r w:rsidR="00A8456B" w:rsidRPr="00A8456B">
        <w:rPr>
          <w:rFonts w:ascii="Noto Sans" w:hAnsi="Noto Sans" w:cs="Noto Sans"/>
        </w:rPr>
        <w:t xml:space="preserve"> no más de uno o dos macollos en </w:t>
      </w:r>
      <w:proofErr w:type="spellStart"/>
      <w:r w:rsidR="00A8456B" w:rsidRPr="00A8456B">
        <w:rPr>
          <w:rFonts w:ascii="Noto Sans" w:hAnsi="Noto Sans" w:cs="Noto Sans"/>
        </w:rPr>
        <w:t>rye</w:t>
      </w:r>
      <w:proofErr w:type="spellEnd"/>
      <w:r w:rsidR="00A8456B" w:rsidRPr="00A8456B">
        <w:rPr>
          <w:rFonts w:ascii="Noto Sans" w:hAnsi="Noto Sans" w:cs="Noto Sans"/>
        </w:rPr>
        <w:t xml:space="preserve"> </w:t>
      </w:r>
      <w:proofErr w:type="spellStart"/>
      <w:r w:rsidR="00A8456B" w:rsidRPr="00A8456B">
        <w:rPr>
          <w:rFonts w:ascii="Noto Sans" w:hAnsi="Noto Sans" w:cs="Noto Sans"/>
        </w:rPr>
        <w:t>grass</w:t>
      </w:r>
      <w:proofErr w:type="spellEnd"/>
      <w:r w:rsidR="00A8456B" w:rsidRPr="00A8456B">
        <w:rPr>
          <w:rFonts w:ascii="Noto Sans" w:hAnsi="Noto Sans" w:cs="Noto Sans"/>
        </w:rPr>
        <w:t xml:space="preserve"> y avena negra, y no más de dos a cuatro hojas en latifoliadas como crucíferas. En cuanto al cultivo, la ventana de aplicación es durante el </w:t>
      </w:r>
      <w:proofErr w:type="spellStart"/>
      <w:r w:rsidR="00A8456B" w:rsidRPr="00A8456B">
        <w:rPr>
          <w:rFonts w:ascii="Noto Sans" w:hAnsi="Noto Sans" w:cs="Noto Sans"/>
        </w:rPr>
        <w:t>macollaje</w:t>
      </w:r>
      <w:proofErr w:type="spellEnd"/>
      <w:r w:rsidR="00A8456B" w:rsidRPr="00A8456B">
        <w:rPr>
          <w:rFonts w:ascii="Noto Sans" w:hAnsi="Noto Sans" w:cs="Noto Sans"/>
        </w:rPr>
        <w:t xml:space="preserve"> del trigo, </w:t>
      </w:r>
      <w:r w:rsidR="00A8456B">
        <w:rPr>
          <w:rFonts w:ascii="Noto Sans" w:hAnsi="Noto Sans" w:cs="Noto Sans"/>
        </w:rPr>
        <w:t xml:space="preserve">para garantizar </w:t>
      </w:r>
      <w:r w:rsidR="00A8456B" w:rsidRPr="00A8456B">
        <w:rPr>
          <w:rFonts w:ascii="Noto Sans" w:hAnsi="Noto Sans" w:cs="Noto Sans"/>
        </w:rPr>
        <w:t xml:space="preserve">una buena cobertura del herbicida sobre las malezas. </w:t>
      </w:r>
    </w:p>
    <w:p w14:paraId="443EDE31" w14:textId="407A26F3" w:rsidR="00A8456B" w:rsidRDefault="00423CFD" w:rsidP="00A8456B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Vale aclarar que l</w:t>
      </w:r>
      <w:r w:rsidR="00A8456B" w:rsidRPr="00A8456B">
        <w:rPr>
          <w:rFonts w:ascii="Noto Sans" w:hAnsi="Noto Sans" w:cs="Noto Sans"/>
        </w:rPr>
        <w:t xml:space="preserve">a incorporación de herbicidas </w:t>
      </w:r>
      <w:proofErr w:type="spellStart"/>
      <w:r w:rsidR="00A8456B" w:rsidRPr="00A8456B">
        <w:rPr>
          <w:rFonts w:ascii="Noto Sans" w:hAnsi="Noto Sans" w:cs="Noto Sans"/>
        </w:rPr>
        <w:t>preemergentes</w:t>
      </w:r>
      <w:proofErr w:type="spellEnd"/>
      <w:r w:rsidR="00A8456B" w:rsidRPr="00A8456B">
        <w:rPr>
          <w:rFonts w:ascii="Noto Sans" w:hAnsi="Noto Sans" w:cs="Noto Sans"/>
        </w:rPr>
        <w:t xml:space="preserve"> en el esquema de manejo resulta clave </w:t>
      </w:r>
      <w:r w:rsidR="00947112">
        <w:rPr>
          <w:rFonts w:ascii="Noto Sans" w:hAnsi="Noto Sans" w:cs="Noto Sans"/>
        </w:rPr>
        <w:t xml:space="preserve">ya que reduce </w:t>
      </w:r>
      <w:r w:rsidR="00A8456B" w:rsidRPr="00A8456B">
        <w:rPr>
          <w:rFonts w:ascii="Noto Sans" w:hAnsi="Noto Sans" w:cs="Noto Sans"/>
        </w:rPr>
        <w:t xml:space="preserve">la densidad de individuos por metro cuadrado y potencia la efectividad de los tratamientos </w:t>
      </w:r>
      <w:proofErr w:type="spellStart"/>
      <w:r w:rsidR="00A8456B" w:rsidRPr="00A8456B">
        <w:rPr>
          <w:rFonts w:ascii="Noto Sans" w:hAnsi="Noto Sans" w:cs="Noto Sans"/>
        </w:rPr>
        <w:t>postemergentes</w:t>
      </w:r>
      <w:proofErr w:type="spellEnd"/>
      <w:r w:rsidR="00A8456B" w:rsidRPr="00A8456B">
        <w:rPr>
          <w:rFonts w:ascii="Noto Sans" w:hAnsi="Noto Sans" w:cs="Noto Sans"/>
        </w:rPr>
        <w:t xml:space="preserve"> como </w:t>
      </w:r>
      <w:proofErr w:type="spellStart"/>
      <w:r w:rsidR="00BE5C96" w:rsidRPr="00A8456B">
        <w:rPr>
          <w:rFonts w:ascii="Noto Sans" w:hAnsi="Noto Sans" w:cs="Noto Sans"/>
        </w:rPr>
        <w:t>B</w:t>
      </w:r>
      <w:r w:rsidR="00BE5C96">
        <w:rPr>
          <w:rFonts w:ascii="Noto Sans" w:hAnsi="Noto Sans" w:cs="Noto Sans"/>
        </w:rPr>
        <w:t>atalium</w:t>
      </w:r>
      <w:proofErr w:type="spellEnd"/>
      <w:r>
        <w:rPr>
          <w:rFonts w:ascii="Noto Sans" w:hAnsi="Noto Sans" w:cs="Noto Sans"/>
        </w:rPr>
        <w:t>®</w:t>
      </w:r>
      <w:r w:rsidR="00A8456B" w:rsidRPr="00A8456B">
        <w:rPr>
          <w:rFonts w:ascii="Noto Sans" w:hAnsi="Noto Sans" w:cs="Noto Sans"/>
        </w:rPr>
        <w:t xml:space="preserve"> Pro.</w:t>
      </w:r>
    </w:p>
    <w:p w14:paraId="01482045" w14:textId="3685D31C" w:rsidR="00A8456B" w:rsidRPr="00A8456B" w:rsidRDefault="00E64E75" w:rsidP="00A8456B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“La problemática de malezas en trigo va creciendo y complejizándose</w:t>
      </w:r>
      <w:r w:rsidR="00423CFD">
        <w:rPr>
          <w:rFonts w:ascii="Noto Sans" w:hAnsi="Noto Sans" w:cs="Noto Sans"/>
        </w:rPr>
        <w:t xml:space="preserve"> y necesita de </w:t>
      </w:r>
      <w:r>
        <w:rPr>
          <w:rFonts w:ascii="Noto Sans" w:hAnsi="Noto Sans" w:cs="Noto Sans"/>
        </w:rPr>
        <w:t>soluciones integrales</w:t>
      </w:r>
      <w:r w:rsidR="00423CFD">
        <w:rPr>
          <w:rFonts w:ascii="Noto Sans" w:hAnsi="Noto Sans" w:cs="Noto Sans"/>
        </w:rPr>
        <w:t>. De ahí</w:t>
      </w:r>
      <w:r>
        <w:rPr>
          <w:rFonts w:ascii="Noto Sans" w:hAnsi="Noto Sans" w:cs="Noto Sans"/>
        </w:rPr>
        <w:t xml:space="preserve"> surge </w:t>
      </w:r>
      <w:proofErr w:type="spellStart"/>
      <w:r w:rsidR="00BE5C96" w:rsidRPr="00A8456B">
        <w:rPr>
          <w:rFonts w:ascii="Noto Sans" w:hAnsi="Noto Sans" w:cs="Noto Sans"/>
        </w:rPr>
        <w:t>B</w:t>
      </w:r>
      <w:r w:rsidR="00BE5C96">
        <w:rPr>
          <w:rFonts w:ascii="Noto Sans" w:hAnsi="Noto Sans" w:cs="Noto Sans"/>
        </w:rPr>
        <w:t>atalium</w:t>
      </w:r>
      <w:proofErr w:type="spellEnd"/>
      <w:r w:rsidR="00423CFD">
        <w:rPr>
          <w:rFonts w:ascii="Noto Sans" w:hAnsi="Noto Sans" w:cs="Noto Sans"/>
        </w:rPr>
        <w:t>®</w:t>
      </w:r>
      <w:r>
        <w:rPr>
          <w:rFonts w:ascii="Noto Sans" w:hAnsi="Noto Sans" w:cs="Noto Sans"/>
        </w:rPr>
        <w:t xml:space="preserve"> Pro, que no es un herbicida más, sino un problema menos”, destacó Angeletti</w:t>
      </w:r>
      <w:r w:rsidR="00423CFD">
        <w:rPr>
          <w:rFonts w:ascii="Noto Sans" w:hAnsi="Noto Sans" w:cs="Noto Sans"/>
        </w:rPr>
        <w:t>.</w:t>
      </w:r>
    </w:p>
    <w:p w14:paraId="18F034D2" w14:textId="77777777" w:rsidR="00A8456B" w:rsidRPr="00A8456B" w:rsidRDefault="00A8456B" w:rsidP="00A8456B">
      <w:pPr>
        <w:spacing w:line="276" w:lineRule="auto"/>
        <w:jc w:val="both"/>
        <w:rPr>
          <w:rFonts w:ascii="Noto Sans" w:hAnsi="Noto Sans" w:cs="Noto Sans"/>
          <w:i/>
          <w:iCs/>
          <w:sz w:val="20"/>
          <w:szCs w:val="20"/>
        </w:rPr>
      </w:pPr>
      <w:r w:rsidRPr="00A8456B">
        <w:rPr>
          <w:rFonts w:ascii="Noto Sans" w:hAnsi="Noto Sans" w:cs="Noto Sans"/>
          <w:i/>
          <w:iCs/>
          <w:sz w:val="20"/>
          <w:szCs w:val="20"/>
        </w:rPr>
        <w:t>Acerca de UPL Corp</w:t>
      </w:r>
    </w:p>
    <w:p w14:paraId="5227171B" w14:textId="77777777" w:rsidR="00A8456B" w:rsidRPr="00A8456B" w:rsidRDefault="00A8456B" w:rsidP="00A8456B">
      <w:pPr>
        <w:spacing w:line="276" w:lineRule="auto"/>
        <w:jc w:val="both"/>
        <w:rPr>
          <w:rFonts w:ascii="Noto Sans" w:hAnsi="Noto Sans" w:cs="Noto Sans"/>
          <w:i/>
          <w:iCs/>
          <w:sz w:val="20"/>
          <w:szCs w:val="20"/>
        </w:rPr>
      </w:pPr>
      <w:r w:rsidRPr="00A8456B">
        <w:rPr>
          <w:rFonts w:ascii="Noto Sans" w:hAnsi="Noto Sans" w:cs="Noto Sans"/>
          <w:i/>
          <w:iCs/>
          <w:sz w:val="20"/>
          <w:szCs w:val="20"/>
        </w:rPr>
        <w:t xml:space="preserve">UPL </w:t>
      </w:r>
      <w:proofErr w:type="spellStart"/>
      <w:r w:rsidRPr="00A8456B">
        <w:rPr>
          <w:rFonts w:ascii="Noto Sans" w:hAnsi="Noto Sans" w:cs="Noto Sans"/>
          <w:i/>
          <w:iCs/>
          <w:sz w:val="20"/>
          <w:szCs w:val="20"/>
        </w:rPr>
        <w:t>Corporation</w:t>
      </w:r>
      <w:proofErr w:type="spellEnd"/>
      <w:r w:rsidRPr="00A8456B">
        <w:rPr>
          <w:rFonts w:ascii="Noto Sans" w:hAnsi="Noto Sans" w:cs="Noto Sans"/>
          <w:i/>
          <w:iCs/>
          <w:sz w:val="20"/>
          <w:szCs w:val="20"/>
        </w:rPr>
        <w:t xml:space="preserve"> Ltd. (UPL Corp) es una empresa líder mundial en protección de cultivos y soluciones biológicas que define el futuro a través de la agricultura sostenible y una mentalidad de dar prioridad al productor. Con una cartera sólida de soluciones holísticas, UPL Corp tiene como objetivo crear crecimiento y prosperidad compartidos para las comunidades agrícolas, la agricultura y nuestro planeta. Como la plataforma principal del grupo UPL, UPL Corp contribuye con más de 3.200 millones de dólares en ingresos anuales y es líder en fomentar la colaboración a través de OpenAg® para desarrollar tecnologías avanzadas para la salud y la productividad de los cultivos.</w:t>
      </w:r>
    </w:p>
    <w:p w14:paraId="32C3B47F" w14:textId="77777777" w:rsidR="00A8456B" w:rsidRDefault="00A8456B"/>
    <w:sectPr w:rsidR="00A845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26AE" w14:textId="77777777" w:rsidR="00E775C0" w:rsidRDefault="00E775C0" w:rsidP="00E64E75">
      <w:pPr>
        <w:spacing w:after="0" w:line="240" w:lineRule="auto"/>
      </w:pPr>
      <w:r>
        <w:separator/>
      </w:r>
    </w:p>
  </w:endnote>
  <w:endnote w:type="continuationSeparator" w:id="0">
    <w:p w14:paraId="4769F5B9" w14:textId="77777777" w:rsidR="00E775C0" w:rsidRDefault="00E775C0" w:rsidP="00E6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E0AB" w14:textId="39B10223" w:rsidR="002410E2" w:rsidRDefault="002410E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ABD0AE" wp14:editId="3445C0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6265" cy="370205"/>
              <wp:effectExtent l="0" t="0" r="0" b="0"/>
              <wp:wrapNone/>
              <wp:docPr id="1494921438" name="Cuadro de texto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D734E" w14:textId="475D4E67" w:rsidR="002410E2" w:rsidRPr="002410E2" w:rsidRDefault="002410E2" w:rsidP="002410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0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6ABD0A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Public" style="position:absolute;margin-left:-4.25pt;margin-top:0;width:46.9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249D734E" w14:textId="475D4E67" w:rsidR="002410E2" w:rsidRPr="002410E2" w:rsidRDefault="002410E2" w:rsidP="002410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0E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301A" w14:textId="5B9BAA9F" w:rsidR="00E64E75" w:rsidRPr="009A5C4D" w:rsidRDefault="00E64E75" w:rsidP="00E64E75">
    <w:pPr>
      <w:tabs>
        <w:tab w:val="center" w:pos="4536"/>
        <w:tab w:val="right" w:pos="9072"/>
        <w:tab w:val="left" w:pos="555"/>
        <w:tab w:val="left" w:pos="6930"/>
      </w:tabs>
      <w:spacing w:after="0" w:line="240" w:lineRule="auto"/>
      <w:jc w:val="right"/>
      <w:rPr>
        <w:rFonts w:ascii="Tahoma" w:eastAsia="Tahoma" w:hAnsi="Tahoma" w:cs="Tahoma"/>
        <w:sz w:val="14"/>
        <w:szCs w:val="14"/>
        <w:lang w:val="es-MX"/>
      </w:rPr>
    </w:pPr>
    <w:r w:rsidRPr="009A5C4D">
      <w:rPr>
        <w:rFonts w:ascii="Tahoma" w:eastAsia="Tahoma" w:hAnsi="Tahoma" w:cs="Tahoma"/>
        <w:sz w:val="14"/>
        <w:szCs w:val="14"/>
        <w:lang w:val="es-MX"/>
      </w:rPr>
      <w:t xml:space="preserve">Prensa: SAVIA Comunicación </w:t>
    </w:r>
  </w:p>
  <w:p w14:paraId="5E032DC9" w14:textId="2D89559C" w:rsidR="00E64E75" w:rsidRPr="009A5C4D" w:rsidRDefault="00E64E75" w:rsidP="00E64E75">
    <w:pPr>
      <w:tabs>
        <w:tab w:val="center" w:pos="4536"/>
        <w:tab w:val="right" w:pos="9072"/>
        <w:tab w:val="left" w:pos="555"/>
      </w:tabs>
      <w:spacing w:after="0" w:line="240" w:lineRule="auto"/>
      <w:jc w:val="right"/>
      <w:rPr>
        <w:rFonts w:ascii="Tahoma" w:eastAsia="Tahoma" w:hAnsi="Tahoma" w:cs="Tahoma"/>
        <w:sz w:val="14"/>
        <w:szCs w:val="14"/>
        <w:lang w:val="es-MX"/>
      </w:rPr>
    </w:pPr>
    <w:r w:rsidRPr="009A5C4D">
      <w:rPr>
        <w:rFonts w:ascii="Tahoma" w:eastAsia="Tahoma" w:hAnsi="Tahoma" w:cs="Tahoma"/>
        <w:sz w:val="14"/>
        <w:szCs w:val="14"/>
        <w:lang w:val="es-MX"/>
      </w:rPr>
      <w:t xml:space="preserve"> Tel. 011 6967 2255</w:t>
    </w:r>
    <w:r w:rsidR="000478D8">
      <w:rPr>
        <w:rFonts w:ascii="Tahoma" w:eastAsia="Tahoma" w:hAnsi="Tahoma" w:cs="Tahoma"/>
        <w:sz w:val="14"/>
        <w:szCs w:val="14"/>
        <w:lang w:val="es-MX"/>
      </w:rPr>
      <w:t xml:space="preserve"> </w:t>
    </w:r>
    <w:r w:rsidR="000478D8">
      <w:rPr>
        <w:rFonts w:ascii="Tahoma" w:eastAsia="Tahoma" w:hAnsi="Tahoma" w:cs="Tahoma"/>
        <w:color w:val="222222"/>
        <w:sz w:val="14"/>
        <w:szCs w:val="14"/>
      </w:rPr>
      <w:t>+</w:t>
    </w:r>
    <w:r w:rsidR="000478D8" w:rsidRPr="000478D8">
      <w:rPr>
        <w:rFonts w:ascii="Tahoma" w:eastAsia="Tahoma" w:hAnsi="Tahoma" w:cs="Tahoma"/>
        <w:sz w:val="14"/>
        <w:szCs w:val="14"/>
        <w:lang w:val="es-MX"/>
      </w:rPr>
      <w:t>54 9 11 6052 0241</w:t>
    </w:r>
  </w:p>
  <w:p w14:paraId="3B0057C7" w14:textId="77777777" w:rsidR="00E64E75" w:rsidRPr="009A5C4D" w:rsidRDefault="00000000" w:rsidP="00E64E75">
    <w:pPr>
      <w:tabs>
        <w:tab w:val="center" w:pos="4536"/>
        <w:tab w:val="right" w:pos="9072"/>
        <w:tab w:val="left" w:pos="555"/>
      </w:tabs>
      <w:spacing w:after="0" w:line="240" w:lineRule="auto"/>
      <w:jc w:val="right"/>
      <w:rPr>
        <w:rFonts w:ascii="Tahoma" w:eastAsia="Tahoma" w:hAnsi="Tahoma" w:cs="Tahoma"/>
        <w:sz w:val="14"/>
        <w:szCs w:val="14"/>
        <w:lang w:val="es-MX"/>
      </w:rPr>
    </w:pPr>
    <w:hyperlink r:id="rId1">
      <w:r w:rsidR="00E64E75" w:rsidRPr="009A5C4D">
        <w:rPr>
          <w:rFonts w:ascii="Tahoma" w:eastAsia="Tahoma" w:hAnsi="Tahoma" w:cs="Tahoma"/>
          <w:color w:val="0000FF"/>
          <w:sz w:val="14"/>
          <w:szCs w:val="14"/>
          <w:u w:val="single"/>
          <w:lang w:val="es-MX"/>
        </w:rPr>
        <w:t>prensa@saviacomunicacion.com.ar</w:t>
      </w:r>
    </w:hyperlink>
  </w:p>
  <w:p w14:paraId="0E8A970B" w14:textId="17344C61" w:rsidR="00E64E75" w:rsidRDefault="00000000" w:rsidP="00E64E75">
    <w:pPr>
      <w:pStyle w:val="Piedepgina"/>
      <w:jc w:val="right"/>
    </w:pPr>
    <w:hyperlink r:id="rId2">
      <w:r w:rsidR="00E64E75" w:rsidRPr="009A5C4D">
        <w:rPr>
          <w:rFonts w:ascii="Tahoma" w:eastAsia="Tahoma" w:hAnsi="Tahoma" w:cs="Tahoma"/>
          <w:sz w:val="14"/>
          <w:szCs w:val="14"/>
          <w:lang w:val="es-MX"/>
        </w:rPr>
        <w:t>www.saviacomunicacion.com.ar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B71B" w14:textId="0DC6B5A6" w:rsidR="002410E2" w:rsidRDefault="002410E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34C04" wp14:editId="4FA906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6265" cy="370205"/>
              <wp:effectExtent l="0" t="0" r="0" b="0"/>
              <wp:wrapNone/>
              <wp:docPr id="1842513304" name="Cuadro de texto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360B2" w14:textId="37617BC9" w:rsidR="002410E2" w:rsidRPr="002410E2" w:rsidRDefault="002410E2" w:rsidP="002410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10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B334C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Public" style="position:absolute;margin-left:-4.25pt;margin-top:0;width:46.9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59C360B2" w14:textId="37617BC9" w:rsidR="002410E2" w:rsidRPr="002410E2" w:rsidRDefault="002410E2" w:rsidP="002410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410E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5707" w14:textId="77777777" w:rsidR="00E775C0" w:rsidRDefault="00E775C0" w:rsidP="00E64E75">
      <w:pPr>
        <w:spacing w:after="0" w:line="240" w:lineRule="auto"/>
      </w:pPr>
      <w:r>
        <w:separator/>
      </w:r>
    </w:p>
  </w:footnote>
  <w:footnote w:type="continuationSeparator" w:id="0">
    <w:p w14:paraId="44D94EA4" w14:textId="77777777" w:rsidR="00E775C0" w:rsidRDefault="00E775C0" w:rsidP="00E6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44DD" w14:textId="10A4BB52" w:rsidR="00E64E75" w:rsidRDefault="00E64E75" w:rsidP="00E64E75">
    <w:pPr>
      <w:pStyle w:val="Encabezado"/>
      <w:jc w:val="right"/>
    </w:pPr>
    <w:r w:rsidRPr="00492154">
      <w:rPr>
        <w:noProof/>
      </w:rPr>
      <w:drawing>
        <wp:inline distT="0" distB="0" distL="0" distR="0" wp14:anchorId="1AB2E85F" wp14:editId="5C894519">
          <wp:extent cx="1468867" cy="704850"/>
          <wp:effectExtent l="0" t="0" r="0" b="0"/>
          <wp:docPr id="1901194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949" name="Imagen 1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305" cy="70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6B"/>
    <w:rsid w:val="000478D8"/>
    <w:rsid w:val="00086C5A"/>
    <w:rsid w:val="000E2A41"/>
    <w:rsid w:val="002410E2"/>
    <w:rsid w:val="002F7A9D"/>
    <w:rsid w:val="00423CFD"/>
    <w:rsid w:val="005E5138"/>
    <w:rsid w:val="006E1411"/>
    <w:rsid w:val="006F4649"/>
    <w:rsid w:val="0076632F"/>
    <w:rsid w:val="008B2C52"/>
    <w:rsid w:val="00947112"/>
    <w:rsid w:val="00A8456B"/>
    <w:rsid w:val="00AE356F"/>
    <w:rsid w:val="00AF1CB7"/>
    <w:rsid w:val="00BE5C96"/>
    <w:rsid w:val="00D5198C"/>
    <w:rsid w:val="00E64E75"/>
    <w:rsid w:val="00E775C0"/>
    <w:rsid w:val="00FC667C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B48D"/>
  <w15:chartTrackingRefBased/>
  <w15:docId w15:val="{C476A6CB-02C4-4D05-8B42-F887D077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5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56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5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5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5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5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5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45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5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56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456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4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75"/>
  </w:style>
  <w:style w:type="paragraph" w:styleId="Piedepgina">
    <w:name w:val="footer"/>
    <w:basedOn w:val="Normal"/>
    <w:link w:val="PiedepginaCar"/>
    <w:uiPriority w:val="99"/>
    <w:unhideWhenUsed/>
    <w:rsid w:val="00E64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75"/>
  </w:style>
  <w:style w:type="paragraph" w:styleId="Revisin">
    <w:name w:val="Revision"/>
    <w:hidden/>
    <w:uiPriority w:val="99"/>
    <w:semiHidden/>
    <w:rsid w:val="00AE3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66f60f-6d84-4e37-8fad-7e0871ac9541}" enabled="1" method="Privileged" siteId="{8bc97f9a-ea86-472e-8ab7-19db58c4c8a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Microsoft Office User</cp:lastModifiedBy>
  <cp:revision>4</cp:revision>
  <dcterms:created xsi:type="dcterms:W3CDTF">2026-05-14T13:08:00Z</dcterms:created>
  <dcterms:modified xsi:type="dcterms:W3CDTF">2026-05-14T17:30:00Z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6dd28598,591ab0de,6cbc8eca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Public</vt:lpwstr>
  </property>
</Properties>
</file>