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6" w:lineRule="auto"/>
        <w:rPr>
          <w:rFonts w:ascii="Noto Sans" w:cs="Noto Sans" w:eastAsia="Noto Sans" w:hAnsi="Noto Sans"/>
          <w:b w:val="1"/>
          <w:bCs w:val="1"/>
          <w:sz w:val="32"/>
          <w:szCs w:val="32"/>
        </w:rPr>
      </w:pPr>
      <w:r w:rsidDel="00000000" w:rsidR="00000000" w:rsidRPr="00000000">
        <w:rPr>
          <w:rFonts w:ascii="Noto Sans" w:cs="Noto Sans" w:eastAsia="Noto Sans" w:hAnsi="Noto Sans"/>
          <w:b w:val="1"/>
          <w:bCs w:val="1"/>
          <w:sz w:val="32"/>
          <w:szCs w:val="32"/>
          <w:rtl w:val="0"/>
        </w:rPr>
        <w:t xml:space="preserve">Malezas resistentes en trigo: ¿por qué la postemergencia es la etapa que faltaba resolver?</w:t>
      </w:r>
    </w:p>
    <w:p w:rsidR="00000000" w:rsidDel="00000000" w:rsidP="00000000" w:rsidRDefault="00000000" w:rsidRPr="00000000" w14:paraId="00000002">
      <w:pPr>
        <w:spacing w:after="160" w:line="276" w:lineRule="auto"/>
        <w:jc w:val="both"/>
        <w:rPr>
          <w:rFonts w:ascii="Noto Sans" w:cs="Noto Sans" w:eastAsia="Noto Sans" w:hAnsi="Noto Sans"/>
          <w:i w:val="1"/>
          <w:iCs w:val="1"/>
          <w:sz w:val="24"/>
          <w:szCs w:val="24"/>
        </w:rPr>
      </w:pPr>
      <w:r w:rsidDel="00000000" w:rsidR="00000000" w:rsidRPr="00000000">
        <w:rPr>
          <w:rFonts w:ascii="Noto Sans" w:cs="Noto Sans" w:eastAsia="Noto Sans" w:hAnsi="Noto Sans"/>
          <w:i w:val="1"/>
          <w:iCs w:val="1"/>
          <w:sz w:val="24"/>
          <w:szCs w:val="24"/>
          <w:rtl w:val="0"/>
        </w:rPr>
        <w:t xml:space="preserve">Rye grass, avena negra y crucíferas ya conviven con resistencia múltiple en buena parte de los lotes de trigo. Dos especialistas en malezas analizan el aporte de Batalium® Pro, el nuevo herbicida postemergente desarrollado por UPL con tres modos de acción.</w:t>
      </w:r>
    </w:p>
    <w:p w:rsidR="00000000" w:rsidDel="00000000" w:rsidP="00000000" w:rsidRDefault="00000000" w:rsidRPr="00000000" w14:paraId="00000003">
      <w:pPr>
        <w:spacing w:after="160" w:line="276"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En los lotes de trigo hay un conjunto de malezas que hoy concentran buena parte de los dolores de cabeza de productores y asesores. Entre ellas se destacan rye grass, avena negra y crucíferas, como nabo y mostaza. Y si bien no son problemas nuevos, sí se agravaron con los años. Las malezas emergen en el barbecho, acompañan al cultivo durante todo su ciclo y, en un número creciente de lotes, muestran resistencia a los herbicidas que se usaron tradicionalmente para controlarlas. </w:t>
      </w:r>
    </w:p>
    <w:p w:rsidR="00000000" w:rsidDel="00000000" w:rsidP="00000000" w:rsidRDefault="00000000" w:rsidRPr="00000000" w14:paraId="00000004">
      <w:pPr>
        <w:spacing w:after="160" w:line="276" w:lineRule="auto"/>
        <w:jc w:val="both"/>
        <w:rPr>
          <w:rFonts w:ascii="Noto Sans" w:cs="Noto Sans" w:eastAsia="Noto Sans" w:hAnsi="Noto Sans"/>
          <w:sz w:val="24"/>
          <w:szCs w:val="24"/>
        </w:rPr>
      </w:pPr>
      <w:r w:rsidDel="00000000" w:rsidR="00000000" w:rsidRPr="00000000">
        <w:rPr>
          <w:rFonts w:ascii="Noto Sans" w:cs="Noto Sans" w:eastAsia="Noto Sans" w:hAnsi="Noto Sans"/>
          <w:rtl w:val="0"/>
        </w:rPr>
        <w:t xml:space="preserve">El nuevo herbicida Batalium® Pro de UPL Corp Argentina viene a darle una solución a este problema al actuar sobre las tres malezas objetivo en simultáneo, incluyendo las emergencias secundarias que compiten con el cultivo en otoño e invierno por luz, agua y nutrientes. La combinación de tres ingredientes activos con modos de acción diferenciados no solo potencia la sinergia entre componentes y maximiza el control, sino que también retarda la aparición de nuevas resistencias en las poblaciones de malezas, un factor crítico dado el escenario actual de resistencias múltiples en lotes de trigo.</w:t>
      </w:r>
      <w:r w:rsidDel="00000000" w:rsidR="00000000" w:rsidRPr="00000000">
        <w:rPr>
          <w:rtl w:val="0"/>
        </w:rPr>
      </w:r>
    </w:p>
    <w:p w:rsidR="00000000" w:rsidDel="00000000" w:rsidP="00000000" w:rsidRDefault="00000000" w:rsidRPr="00000000" w14:paraId="00000005">
      <w:pPr>
        <w:spacing w:after="160" w:line="276" w:lineRule="auto"/>
        <w:jc w:val="both"/>
        <w:rPr>
          <w:rFonts w:ascii="Noto Sans" w:cs="Noto Sans" w:eastAsia="Noto Sans" w:hAnsi="Noto Sans"/>
        </w:rPr>
      </w:pPr>
      <w:r w:rsidDel="00000000" w:rsidR="00000000" w:rsidRPr="00000000">
        <w:rPr>
          <w:rFonts w:ascii="Noto Sans" w:cs="Noto Sans" w:eastAsia="Noto Sans" w:hAnsi="Noto Sans"/>
          <w:rtl w:val="0"/>
        </w:rPr>
        <w:t xml:space="preserve">Ramón Gigón, consultor especialista en malezas, ubica a estas tres especies —rye grass, avena negra y crucíferas— como el principal problema del cultivo. Según explica, son especies muy competitivas, que emergen en el barbecho y están presentes durante todo el ciclo del trigo generando competencia por agua, luz y nutrientes.</w:t>
      </w:r>
    </w:p>
    <w:p w:rsidR="00000000" w:rsidDel="00000000" w:rsidP="00000000" w:rsidRDefault="00000000" w:rsidRPr="00000000" w14:paraId="00000006">
      <w:pPr>
        <w:spacing w:after="160" w:line="276" w:lineRule="auto"/>
        <w:jc w:val="both"/>
        <w:rPr>
          <w:rFonts w:ascii="Noto Sans" w:cs="Noto Sans" w:eastAsia="Noto Sans" w:hAnsi="Noto Sans"/>
        </w:rPr>
      </w:pPr>
      <w:r w:rsidDel="00000000" w:rsidR="00000000" w:rsidRPr="00000000">
        <w:rPr>
          <w:rFonts w:ascii="Noto Sans" w:cs="Noto Sans" w:eastAsia="Noto Sans" w:hAnsi="Noto Sans"/>
          <w:rtl w:val="0"/>
        </w:rPr>
        <w:t xml:space="preserve">Para Gigón, el control no se resuelve en una sola instancia. "Necesitamos un muy buen control en barbecho, con un muy buen preemergente, pero estamos viendo que también necesitamos un buen postemergente para terminar el control y evitar la resistencia a los preemergentes", señala.</w:t>
      </w:r>
    </w:p>
    <w:p w:rsidR="00000000" w:rsidDel="00000000" w:rsidP="00000000" w:rsidRDefault="00000000" w:rsidRPr="00000000" w14:paraId="00000007">
      <w:pPr>
        <w:spacing w:after="160" w:line="276"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En ese eslabón que faltaba —el control postemergente— es donde el consultor ubica el aporte de la nueva herramienta: "Este lanzamiento de Batalium® Pro nos está dando una mano para el control presente y futuro de estas tres malezas en la postemergencia del cultivo. Por eso lo vemos como una solución muy interesante".</w:t>
      </w:r>
    </w:p>
    <w:p w:rsidR="00000000" w:rsidDel="00000000" w:rsidP="00000000" w:rsidRDefault="00000000" w:rsidRPr="00000000" w14:paraId="00000008">
      <w:pPr>
        <w:spacing w:after="160" w:line="276" w:lineRule="auto"/>
        <w:jc w:val="both"/>
        <w:rPr>
          <w:rFonts w:ascii="Noto Sans" w:cs="Noto Sans" w:eastAsia="Noto Sans" w:hAnsi="Noto Sans"/>
        </w:rPr>
      </w:pPr>
      <w:r w:rsidDel="00000000" w:rsidR="00000000" w:rsidRPr="00000000">
        <w:rPr>
          <w:rFonts w:ascii="Noto Sans" w:cs="Noto Sans" w:eastAsia="Noto Sans" w:hAnsi="Noto Sans"/>
          <w:rtl w:val="0"/>
        </w:rPr>
        <w:t xml:space="preserve">Marcos Yanniccari, investigador del CONICET especialista en malezas, aporta la lectura de fondo: el desarrollo de resistencia en distintas poblaciones puso en jaque a buena parte de los herbicidas postemergentes que habitualmente se utilizan en trigo. </w:t>
      </w:r>
    </w:p>
    <w:p w:rsidR="00000000" w:rsidDel="00000000" w:rsidP="00000000" w:rsidRDefault="00000000" w:rsidRPr="00000000" w14:paraId="00000009">
      <w:pPr>
        <w:spacing w:after="160" w:line="276"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 rye grass representa uno de los principales problemas en cuanto a la resistencia a distintos herbicidas. Y esta especie no viene sola, viene acompañada en muchos casos de malezas crucíferas que vuelven a poner en jaque a las herramientas que utilizamos habitualmente para controlarlas en postemergencia", detalla Yanniccari.</w:t>
      </w:r>
    </w:p>
    <w:p w:rsidR="00000000" w:rsidDel="00000000" w:rsidP="00000000" w:rsidRDefault="00000000" w:rsidRPr="00000000" w14:paraId="0000000A">
      <w:pPr>
        <w:spacing w:after="160" w:line="276"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 especialista remarca además un punto que suele quedar afuera de la discusión: no todos los herbicidas funcionan de la misma manera en todas las poblaciones de malezas. Un mismo producto puede tener resultados distintos según el perfil de resistencia que haya desarrollado cada población. Es justamente ahí, donde una herramienta con múltiples modos de acción gana valor. "Los aportes que pueden surgir a partir de este nuevo herbicida hacen de Batalium® Pro un herbicida interesante en el espectro de control e incluso en la respuesta en distintas poblaciones con distintos perfiles de resistencia", remarca.</w:t>
      </w:r>
    </w:p>
    <w:p w:rsidR="00000000" w:rsidDel="00000000" w:rsidP="00000000" w:rsidRDefault="00000000" w:rsidRPr="00000000" w14:paraId="0000000B">
      <w:pPr>
        <w:spacing w:after="160" w:line="276"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 nuevo herbicida postemergente que UPL incorporó a su portfolio para trigo combina tres modos de acción en una misma formulación y está diseñado para el control de rye grass, avena negra y crucíferas en estadios tempranos de desarrollo. La recomendación es aplicarlo a una dosis de 500 gramos por hectárea durante el macollaje del cultivo.</w:t>
      </w:r>
    </w:p>
    <w:p w:rsidR="00000000" w:rsidDel="00000000" w:rsidP="00000000" w:rsidRDefault="00000000" w:rsidRPr="00000000" w14:paraId="0000000C">
      <w:pPr>
        <w:spacing w:after="160" w:line="276"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combinación de tres ingredientes activos con modos de acción diferenciados no reemplaza al preemergente: lo completa. La reducción de la densidad de malezas por metro cuadrado que logra el preemergente potencia, a su vez, la efectividad del tratamiento postemergente, y esa sinergia entre ambas instancias es la que retarda la aparición de nuevas resistencias en las poblaciones de malezas.</w:t>
      </w:r>
    </w:p>
    <w:p w:rsidR="00000000" w:rsidDel="00000000" w:rsidP="00000000" w:rsidRDefault="00000000" w:rsidRPr="00000000" w14:paraId="0000000D">
      <w:pPr>
        <w:spacing w:after="160" w:line="276"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Con ese diagnóstico compartido —el de un consultor que recorre lotes y el de un investigador que estudia poblaciones resistentes—, la lectura de fondo es la misma: el control de malezas en trigo tiene en Batalium® Pro una gran solución para la problemática de malezas en trigo.</w:t>
      </w:r>
    </w:p>
    <w:p w:rsidR="00000000" w:rsidDel="00000000" w:rsidP="00000000" w:rsidRDefault="00000000" w:rsidRPr="00000000" w14:paraId="0000000E">
      <w:pPr>
        <w:spacing w:after="160" w:line="276" w:lineRule="auto"/>
        <w:jc w:val="both"/>
        <w:rPr>
          <w:rFonts w:ascii="Noto Sans" w:cs="Noto Sans" w:eastAsia="Noto Sans" w:hAnsi="Noto Sans"/>
          <w:b w:val="1"/>
          <w:bCs w:val="1"/>
          <w:i w:val="1"/>
          <w:iCs w:val="1"/>
        </w:rPr>
      </w:pPr>
      <w:r w:rsidDel="00000000" w:rsidR="00000000" w:rsidRPr="00000000">
        <w:rPr>
          <w:rFonts w:ascii="Noto Sans" w:cs="Noto Sans" w:eastAsia="Noto Sans" w:hAnsi="Noto Sans"/>
          <w:b w:val="1"/>
          <w:bCs w:val="1"/>
          <w:i w:val="1"/>
          <w:iCs w:val="1"/>
          <w:rtl w:val="0"/>
        </w:rPr>
        <w:t xml:space="preserve">Acerca de UPL Corp</w:t>
      </w:r>
    </w:p>
    <w:p w:rsidR="00000000" w:rsidDel="00000000" w:rsidP="00000000" w:rsidRDefault="00000000" w:rsidRPr="00000000" w14:paraId="0000000F">
      <w:pPr>
        <w:spacing w:after="160" w:line="276"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UPL Corporation Ltd. (UPL Corp) es una empresa líder mundial en protección de cultivos y soluciones biológicas que define el futuro a través de la agricultura sostenible y una mentalidad de dar prioridad al productor. Con una cartera sólida de soluciones holísticas, UPL Corp tiene como objetivo crear crecimiento y prosperidad compartidos para las comunidades agrícolas, la agricultura y nuestro planeta. Como la plataforma principal del grupo UPL, UPL Corp contribuye con más de 3.200 millones de dólares en ingresos anuales y es líder en fomentar la colaboración a través de OpenAg® para desarrollar tecnologías avanzadas para la salud y la productividad de los cultivos.</w:t>
      </w:r>
    </w:p>
    <w:p w:rsidR="00000000" w:rsidDel="00000000" w:rsidP="00000000" w:rsidRDefault="00000000" w:rsidRPr="00000000" w14:paraId="00000010">
      <w:pPr>
        <w:rPr/>
      </w:pPr>
      <w:r w:rsidDel="00000000" w:rsidR="00000000" w:rsidRPr="00000000">
        <w:rPr>
          <w:rtl w:val="0"/>
        </w:rPr>
      </w:r>
    </w:p>
    <w:sectPr>
      <w:headerReference r:id="rId6" w:type="default"/>
      <w:foot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tabs>
        <w:tab w:val="center" w:leader="none" w:pos="4536"/>
        <w:tab w:val="right" w:leader="none" w:pos="9072"/>
        <w:tab w:val="left" w:leader="none" w:pos="555"/>
        <w:tab w:val="left" w:leader="none" w:pos="6930"/>
      </w:tabs>
      <w:spacing w:line="240" w:lineRule="auto"/>
      <w:jc w:val="right"/>
      <w:rPr>
        <w:rFonts w:ascii="Tahoma" w:cs="Tahoma" w:eastAsia="Tahoma" w:hAnsi="Tahoma"/>
        <w:sz w:val="14"/>
        <w:szCs w:val="14"/>
      </w:rPr>
    </w:pPr>
    <w:r w:rsidDel="00000000" w:rsidR="00000000" w:rsidRPr="00000000">
      <w:rPr>
        <w:rFonts w:ascii="Tahoma" w:cs="Tahoma" w:eastAsia="Tahoma" w:hAnsi="Tahoma"/>
        <w:sz w:val="14"/>
        <w:szCs w:val="14"/>
        <w:rtl w:val="0"/>
      </w:rPr>
      <w:t xml:space="preserve">Prensa: SAVIA Comunicación </w:t>
    </w:r>
  </w:p>
  <w:p w:rsidR="00000000" w:rsidDel="00000000" w:rsidP="00000000" w:rsidRDefault="00000000" w:rsidRPr="00000000" w14:paraId="00000013">
    <w:pPr>
      <w:tabs>
        <w:tab w:val="center" w:leader="none" w:pos="4536"/>
        <w:tab w:val="right" w:leader="none" w:pos="9072"/>
        <w:tab w:val="left" w:leader="none" w:pos="555"/>
      </w:tabs>
      <w:spacing w:line="240" w:lineRule="auto"/>
      <w:jc w:val="right"/>
      <w:rPr>
        <w:rFonts w:ascii="Tahoma" w:cs="Tahoma" w:eastAsia="Tahoma" w:hAnsi="Tahoma"/>
        <w:sz w:val="14"/>
        <w:szCs w:val="14"/>
      </w:rPr>
    </w:pPr>
    <w:r w:rsidDel="00000000" w:rsidR="00000000" w:rsidRPr="00000000">
      <w:rPr>
        <w:rFonts w:ascii="Tahoma" w:cs="Tahoma" w:eastAsia="Tahoma" w:hAnsi="Tahoma"/>
        <w:sz w:val="14"/>
        <w:szCs w:val="14"/>
        <w:rtl w:val="0"/>
      </w:rPr>
      <w:t xml:space="preserve"> Tel. 011 6967 2255 </w:t>
    </w:r>
    <w:r w:rsidDel="00000000" w:rsidR="00000000" w:rsidRPr="00000000">
      <w:rPr>
        <w:rFonts w:ascii="Tahoma" w:cs="Tahoma" w:eastAsia="Tahoma" w:hAnsi="Tahoma"/>
        <w:color w:val="222222"/>
        <w:sz w:val="14"/>
        <w:szCs w:val="14"/>
        <w:rtl w:val="0"/>
      </w:rPr>
      <w:t xml:space="preserve">+</w:t>
    </w:r>
    <w:r w:rsidDel="00000000" w:rsidR="00000000" w:rsidRPr="00000000">
      <w:rPr>
        <w:rFonts w:ascii="Tahoma" w:cs="Tahoma" w:eastAsia="Tahoma" w:hAnsi="Tahoma"/>
        <w:sz w:val="14"/>
        <w:szCs w:val="14"/>
        <w:rtl w:val="0"/>
      </w:rPr>
      <w:t xml:space="preserve">54 9 11 6052 0241</w:t>
    </w:r>
  </w:p>
  <w:p w:rsidR="00000000" w:rsidDel="00000000" w:rsidP="00000000" w:rsidRDefault="00000000" w:rsidRPr="00000000" w14:paraId="00000014">
    <w:pPr>
      <w:tabs>
        <w:tab w:val="center" w:leader="none" w:pos="4536"/>
        <w:tab w:val="right" w:leader="none" w:pos="9072"/>
        <w:tab w:val="left" w:leader="none" w:pos="555"/>
      </w:tabs>
      <w:spacing w:line="240" w:lineRule="auto"/>
      <w:jc w:val="right"/>
      <w:rPr>
        <w:rFonts w:ascii="Tahoma" w:cs="Tahoma" w:eastAsia="Tahoma" w:hAnsi="Tahoma"/>
        <w:sz w:val="14"/>
        <w:szCs w:val="14"/>
      </w:rPr>
    </w:pPr>
    <w:hyperlink r:id="rId1">
      <w:r w:rsidDel="00000000" w:rsidR="00000000" w:rsidRPr="00000000">
        <w:rPr>
          <w:rFonts w:ascii="Tahoma" w:cs="Tahoma" w:eastAsia="Tahoma" w:hAnsi="Tahoma"/>
          <w:color w:val="0000ff"/>
          <w:sz w:val="14"/>
          <w:szCs w:val="14"/>
          <w:u w:val="single"/>
          <w:rtl w:val="0"/>
        </w:rPr>
        <w:t xml:space="preserve">prensa@saviacomunicacion.com.ar</w:t>
      </w:r>
    </w:hyperlink>
    <w:r w:rsidDel="00000000" w:rsidR="00000000" w:rsidRPr="00000000">
      <w:rPr>
        <w:rtl w:val="0"/>
      </w:rPr>
    </w:r>
  </w:p>
  <w:p w:rsidR="00000000" w:rsidDel="00000000" w:rsidP="00000000" w:rsidRDefault="00000000" w:rsidRPr="00000000" w14:paraId="00000015">
    <w:pPr>
      <w:tabs>
        <w:tab w:val="center" w:leader="none" w:pos="4252"/>
        <w:tab w:val="right" w:leader="none" w:pos="8504"/>
      </w:tabs>
      <w:spacing w:line="240" w:lineRule="auto"/>
      <w:jc w:val="right"/>
      <w:rPr/>
    </w:pPr>
    <w:hyperlink r:id="rId2">
      <w:r w:rsidDel="00000000" w:rsidR="00000000" w:rsidRPr="00000000">
        <w:rPr>
          <w:rFonts w:ascii="Tahoma" w:cs="Tahoma" w:eastAsia="Tahoma" w:hAnsi="Tahoma"/>
          <w:sz w:val="14"/>
          <w:szCs w:val="14"/>
          <w:rtl w:val="0"/>
        </w:rPr>
        <w:t xml:space="preserve">www.saviacomunicacion.com.ar</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tabs>
        <w:tab w:val="center" w:leader="none" w:pos="4252"/>
        <w:tab w:val="right" w:leader="none" w:pos="8504"/>
      </w:tabs>
      <w:spacing w:line="240" w:lineRule="auto"/>
      <w:jc w:val="right"/>
      <w:rPr/>
    </w:pPr>
    <w:r w:rsidDel="00000000" w:rsidR="00000000" w:rsidRPr="00000000">
      <w:rPr>
        <w:rFonts w:ascii="Calibri" w:cs="Calibri" w:eastAsia="Calibri" w:hAnsi="Calibri"/>
        <w:sz w:val="24"/>
        <w:szCs w:val="24"/>
      </w:rPr>
      <w:drawing>
        <wp:inline distB="0" distT="0" distL="0" distR="0">
          <wp:extent cx="1122037" cy="539161"/>
          <wp:effectExtent b="0" l="0" r="0" t="0"/>
          <wp:docPr descr="Logotipo, nombre de la empresa&#10;&#10;El contenido generado por IA puede ser incorrecto." id="1" name="image1.png"/>
          <a:graphic>
            <a:graphicData uri="http://schemas.openxmlformats.org/drawingml/2006/picture">
              <pic:pic>
                <pic:nvPicPr>
                  <pic:cNvPr descr="Logotipo, nombre de la empresa&#10;&#10;El contenido generado por IA puede ser incorrecto." id="0" name="image1.png"/>
                  <pic:cNvPicPr preferRelativeResize="0"/>
                </pic:nvPicPr>
                <pic:blipFill>
                  <a:blip r:embed="rId1"/>
                  <a:srcRect b="0" l="0" r="0" t="0"/>
                  <a:stretch>
                    <a:fillRect/>
                  </a:stretch>
                </pic:blipFill>
                <pic:spPr>
                  <a:xfrm>
                    <a:off x="0" y="0"/>
                    <a:ext cx="1122037" cy="53916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mailto:prensa@saviacomunicacion.com.ar" TargetMode="External"/><Relationship Id="rId2" Type="http://schemas.openxmlformats.org/officeDocument/2006/relationships/hyperlink" Target="http://www.saviacomunicacion.com.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