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0C5A" w14:textId="77777777" w:rsidR="00BE3AE0" w:rsidRPr="006D40DF" w:rsidRDefault="00BE3AE0" w:rsidP="00BE3AE0">
      <w:pPr>
        <w:spacing w:line="276" w:lineRule="auto"/>
        <w:jc w:val="both"/>
        <w:rPr>
          <w:rFonts w:ascii="Noto Sans" w:eastAsia="Noto Sans" w:hAnsi="Noto Sans" w:cs="Noto Sans"/>
          <w:b/>
          <w:bCs/>
          <w:sz w:val="28"/>
          <w:szCs w:val="28"/>
        </w:rPr>
      </w:pPr>
      <w:r w:rsidRPr="006D40DF">
        <w:rPr>
          <w:rFonts w:ascii="Noto Sans" w:eastAsia="Noto Sans" w:hAnsi="Noto Sans" w:cs="Noto Sans"/>
          <w:b/>
          <w:bCs/>
          <w:sz w:val="28"/>
          <w:szCs w:val="28"/>
        </w:rPr>
        <w:t>UPL Corp Argentina lleva a Aapresid 2026 tecnologías que redefinen las decisiones que se toman cada campaña</w:t>
      </w:r>
    </w:p>
    <w:p w14:paraId="60E5A44C" w14:textId="77777777" w:rsidR="00BE3AE0" w:rsidRDefault="00BE3AE0" w:rsidP="00BE3AE0">
      <w:pPr>
        <w:spacing w:line="276" w:lineRule="auto"/>
        <w:jc w:val="both"/>
        <w:rPr>
          <w:rFonts w:ascii="Noto Sans" w:eastAsia="Noto Sans" w:hAnsi="Noto Sans" w:cs="Noto Sans"/>
          <w:i/>
          <w:iCs/>
          <w:sz w:val="22"/>
          <w:szCs w:val="22"/>
        </w:rPr>
      </w:pPr>
      <w:r>
        <w:rPr>
          <w:rFonts w:ascii="Noto Sans" w:eastAsia="Noto Sans" w:hAnsi="Noto Sans" w:cs="Noto Sans"/>
          <w:i/>
          <w:iCs/>
          <w:sz w:val="22"/>
          <w:szCs w:val="22"/>
        </w:rPr>
        <w:t>La empresa desplegará en Rosario</w:t>
      </w:r>
      <w:r w:rsidRPr="006D40DF">
        <w:rPr>
          <w:rFonts w:ascii="Noto Sans" w:eastAsia="Noto Sans" w:hAnsi="Noto Sans" w:cs="Noto Sans"/>
          <w:i/>
          <w:iCs/>
          <w:sz w:val="22"/>
          <w:szCs w:val="22"/>
        </w:rPr>
        <w:t xml:space="preserve"> uno de los portafolios de soluciones agrícolas más completos </w:t>
      </w:r>
      <w:r>
        <w:rPr>
          <w:rFonts w:ascii="Noto Sans" w:eastAsia="Noto Sans" w:hAnsi="Noto Sans" w:cs="Noto Sans"/>
          <w:i/>
          <w:iCs/>
          <w:sz w:val="22"/>
          <w:szCs w:val="22"/>
        </w:rPr>
        <w:t xml:space="preserve">e innovadores </w:t>
      </w:r>
      <w:r w:rsidRPr="006D40DF">
        <w:rPr>
          <w:rFonts w:ascii="Noto Sans" w:eastAsia="Noto Sans" w:hAnsi="Noto Sans" w:cs="Noto Sans"/>
          <w:i/>
          <w:iCs/>
          <w:sz w:val="22"/>
          <w:szCs w:val="22"/>
        </w:rPr>
        <w:t>del mercado</w:t>
      </w:r>
      <w:r>
        <w:rPr>
          <w:rFonts w:ascii="Noto Sans" w:eastAsia="Noto Sans" w:hAnsi="Noto Sans" w:cs="Noto Sans"/>
          <w:i/>
          <w:iCs/>
          <w:sz w:val="22"/>
          <w:szCs w:val="22"/>
        </w:rPr>
        <w:t xml:space="preserve">, pero el verdadero impacto lo darán los resultados obtenidos a campo con NUTREO® N, la solución nitrogenada foliar que vino a cambiar la forma de refertilizar el trigo y el maíz. </w:t>
      </w:r>
    </w:p>
    <w:p w14:paraId="64DCDC03"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 xml:space="preserve">UPL Corp Argentina estará presente en el Congreso Aapresid 2026, que se realizará del 4 al 6 de agosto en el Salón Metropolitano de Rosario, con una propuesta orientada a </w:t>
      </w:r>
      <w:r>
        <w:rPr>
          <w:rFonts w:ascii="Noto Sans" w:eastAsia="Noto Sans" w:hAnsi="Noto Sans" w:cs="Noto Sans"/>
          <w:sz w:val="22"/>
          <w:szCs w:val="22"/>
        </w:rPr>
        <w:t>mejorar</w:t>
      </w:r>
      <w:r w:rsidRPr="006D40DF">
        <w:rPr>
          <w:rFonts w:ascii="Noto Sans" w:eastAsia="Noto Sans" w:hAnsi="Noto Sans" w:cs="Noto Sans"/>
          <w:sz w:val="22"/>
          <w:szCs w:val="22"/>
        </w:rPr>
        <w:t xml:space="preserve"> las decisiones que condicionan el desarrollo y el resultado de cada campaña agrícola.</w:t>
      </w:r>
    </w:p>
    <w:p w14:paraId="07F14838"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“El Congreso Aapresid es un espacio clave para compartir conocimiento y acercar soluciones innovadoras a productores</w:t>
      </w:r>
      <w:r>
        <w:rPr>
          <w:rFonts w:ascii="Noto Sans" w:eastAsia="Noto Sans" w:hAnsi="Noto Sans" w:cs="Noto Sans"/>
          <w:sz w:val="22"/>
          <w:szCs w:val="22"/>
        </w:rPr>
        <w:t xml:space="preserve"> y asesores</w:t>
      </w:r>
      <w:r w:rsidRPr="006D40DF">
        <w:rPr>
          <w:rFonts w:ascii="Noto Sans" w:eastAsia="Noto Sans" w:hAnsi="Noto Sans" w:cs="Noto Sans"/>
          <w:sz w:val="22"/>
          <w:szCs w:val="22"/>
        </w:rPr>
        <w:t>, reafirmando nuestro compromiso con sistemas productivos más eficientes y sustentables”, expresaron desde la compañía, que llegará al encuentro con un robusto</w:t>
      </w:r>
      <w:r>
        <w:rPr>
          <w:rFonts w:ascii="Noto Sans" w:eastAsia="Noto Sans" w:hAnsi="Noto Sans" w:cs="Noto Sans"/>
          <w:sz w:val="22"/>
          <w:szCs w:val="22"/>
        </w:rPr>
        <w:t xml:space="preserve"> e innovador</w:t>
      </w:r>
      <w:r w:rsidRPr="006D40DF">
        <w:rPr>
          <w:rFonts w:ascii="Noto Sans" w:eastAsia="Noto Sans" w:hAnsi="Noto Sans" w:cs="Noto Sans"/>
          <w:sz w:val="22"/>
          <w:szCs w:val="22"/>
        </w:rPr>
        <w:t xml:space="preserve"> portafolio de productos para la protección, nutrición y recuperación de los cultivos.</w:t>
      </w:r>
    </w:p>
    <w:p w14:paraId="4E6C39C0" w14:textId="77777777" w:rsidR="00BE3AE0"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La presencia de UPL partirá de una premisa: cada campaña marca el comienzo de una nueva partida, en la que cada decisión impacta sobre la siguiente. Aunque los problemas puedan presentarse de manera aislada, la compactación, las malezas, las enfermedades, la nutrición y los diferentes factores de estrés se encuentran profundamente conectados.</w:t>
      </w:r>
      <w:r>
        <w:rPr>
          <w:rFonts w:ascii="Noto Sans" w:eastAsia="Noto Sans" w:hAnsi="Noto Sans" w:cs="Noto Sans"/>
          <w:sz w:val="22"/>
          <w:szCs w:val="22"/>
        </w:rPr>
        <w:t xml:space="preserve"> </w:t>
      </w:r>
      <w:r w:rsidRPr="006D40DF">
        <w:rPr>
          <w:rFonts w:ascii="Noto Sans" w:eastAsia="Noto Sans" w:hAnsi="Noto Sans" w:cs="Noto Sans"/>
          <w:sz w:val="22"/>
          <w:szCs w:val="22"/>
        </w:rPr>
        <w:t>Por eso la clave es ver</w:t>
      </w:r>
      <w:r>
        <w:rPr>
          <w:rFonts w:ascii="Noto Sans" w:eastAsia="Noto Sans" w:hAnsi="Noto Sans" w:cs="Noto Sans"/>
          <w:sz w:val="22"/>
          <w:szCs w:val="22"/>
        </w:rPr>
        <w:t xml:space="preserve"> el conjunto. </w:t>
      </w:r>
    </w:p>
    <w:p w14:paraId="28F05770" w14:textId="77777777" w:rsidR="00BE3AE0"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Esta mirada integral atraviesa la estrategia de UPL</w:t>
      </w:r>
      <w:r>
        <w:rPr>
          <w:rFonts w:ascii="Noto Sans" w:eastAsia="Noto Sans" w:hAnsi="Noto Sans" w:cs="Noto Sans"/>
          <w:sz w:val="22"/>
          <w:szCs w:val="22"/>
        </w:rPr>
        <w:t xml:space="preserve"> y se expresa en planes por cultivo</w:t>
      </w:r>
      <w:r w:rsidRPr="006D40DF">
        <w:rPr>
          <w:rFonts w:ascii="Noto Sans" w:eastAsia="Noto Sans" w:hAnsi="Noto Sans" w:cs="Noto Sans"/>
          <w:sz w:val="22"/>
          <w:szCs w:val="22"/>
        </w:rPr>
        <w:t xml:space="preserve">, </w:t>
      </w:r>
      <w:r>
        <w:rPr>
          <w:rFonts w:ascii="Noto Sans" w:eastAsia="Noto Sans" w:hAnsi="Noto Sans" w:cs="Noto Sans"/>
          <w:sz w:val="22"/>
          <w:szCs w:val="22"/>
        </w:rPr>
        <w:t>donde la</w:t>
      </w:r>
      <w:r w:rsidRPr="006D40DF">
        <w:rPr>
          <w:rFonts w:ascii="Noto Sans" w:eastAsia="Noto Sans" w:hAnsi="Noto Sans" w:cs="Noto Sans"/>
          <w:sz w:val="22"/>
          <w:szCs w:val="22"/>
        </w:rPr>
        <w:t xml:space="preserve"> compañía combina soluciones para la protección de cultivos con un creciente portafolio de biosoluciones y </w:t>
      </w:r>
      <w:r>
        <w:rPr>
          <w:rFonts w:ascii="Noto Sans" w:eastAsia="Noto Sans" w:hAnsi="Noto Sans" w:cs="Noto Sans"/>
          <w:sz w:val="22"/>
          <w:szCs w:val="22"/>
        </w:rPr>
        <w:t>la</w:t>
      </w:r>
      <w:r w:rsidRPr="006D40DF">
        <w:rPr>
          <w:rFonts w:ascii="Noto Sans" w:eastAsia="Noto Sans" w:hAnsi="Noto Sans" w:cs="Noto Sans"/>
          <w:sz w:val="22"/>
          <w:szCs w:val="22"/>
        </w:rPr>
        <w:t xml:space="preserve"> posiciona al lado de </w:t>
      </w:r>
      <w:r>
        <w:rPr>
          <w:rFonts w:ascii="Noto Sans" w:eastAsia="Noto Sans" w:hAnsi="Noto Sans" w:cs="Noto Sans"/>
          <w:sz w:val="22"/>
          <w:szCs w:val="22"/>
        </w:rPr>
        <w:t xml:space="preserve">los </w:t>
      </w:r>
      <w:r w:rsidRPr="006D40DF">
        <w:rPr>
          <w:rFonts w:ascii="Noto Sans" w:eastAsia="Noto Sans" w:hAnsi="Noto Sans" w:cs="Noto Sans"/>
          <w:sz w:val="22"/>
          <w:szCs w:val="22"/>
        </w:rPr>
        <w:t>productores con el objetivo de crecer juntos y contribuir al desarrollo de una agricultura sostenible.</w:t>
      </w:r>
    </w:p>
    <w:p w14:paraId="2757319D" w14:textId="77777777" w:rsidR="00BE3AE0" w:rsidRPr="00CA038F" w:rsidRDefault="00BE3AE0" w:rsidP="00BE3AE0">
      <w:pPr>
        <w:spacing w:line="276" w:lineRule="auto"/>
        <w:jc w:val="both"/>
        <w:rPr>
          <w:rFonts w:ascii="Noto Sans" w:eastAsia="Noto Sans" w:hAnsi="Noto Sans" w:cs="Noto Sans"/>
          <w:b/>
          <w:bCs/>
          <w:sz w:val="22"/>
          <w:szCs w:val="22"/>
        </w:rPr>
      </w:pPr>
      <w:r w:rsidRPr="00CA038F">
        <w:rPr>
          <w:rFonts w:ascii="Noto Sans" w:eastAsia="Noto Sans" w:hAnsi="Noto Sans" w:cs="Noto Sans"/>
          <w:b/>
          <w:bCs/>
          <w:sz w:val="22"/>
          <w:szCs w:val="22"/>
        </w:rPr>
        <w:t>NUTREO® N mostrará los resultados de una nueva forma de refertilizar</w:t>
      </w:r>
    </w:p>
    <w:p w14:paraId="57172A47" w14:textId="77777777" w:rsidR="00BE3AE0" w:rsidRPr="006D40DF" w:rsidRDefault="00BE3AE0" w:rsidP="00BE3AE0">
      <w:pPr>
        <w:spacing w:line="276" w:lineRule="auto"/>
        <w:jc w:val="both"/>
        <w:rPr>
          <w:rFonts w:ascii="Noto Sans" w:eastAsia="Noto Sans" w:hAnsi="Noto Sans" w:cs="Noto Sans"/>
          <w:sz w:val="22"/>
          <w:szCs w:val="22"/>
        </w:rPr>
      </w:pPr>
      <w:r>
        <w:rPr>
          <w:rFonts w:ascii="Noto Sans" w:eastAsia="Noto Sans" w:hAnsi="Noto Sans" w:cs="Noto Sans"/>
          <w:sz w:val="22"/>
          <w:szCs w:val="22"/>
        </w:rPr>
        <w:t>Una</w:t>
      </w:r>
      <w:r w:rsidRPr="006D40DF">
        <w:rPr>
          <w:rFonts w:ascii="Noto Sans" w:eastAsia="Noto Sans" w:hAnsi="Noto Sans" w:cs="Noto Sans"/>
          <w:sz w:val="22"/>
          <w:szCs w:val="22"/>
        </w:rPr>
        <w:t xml:space="preserve"> de las tecnologías que tendrá protagonismo durante el congreso será NUTREO® N, la solución nitrogenada foliar de UPL que propone transformar la refertilización del trigo y el maíz.</w:t>
      </w:r>
    </w:p>
    <w:p w14:paraId="2EBDC242"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 xml:space="preserve">El jueves 6 de agosto, a las 15.45 horas, en </w:t>
      </w:r>
      <w:r>
        <w:rPr>
          <w:rFonts w:ascii="Noto Sans" w:eastAsia="Noto Sans" w:hAnsi="Noto Sans" w:cs="Noto Sans"/>
          <w:sz w:val="22"/>
          <w:szCs w:val="22"/>
        </w:rPr>
        <w:t>la sala C</w:t>
      </w:r>
      <w:r w:rsidRPr="006D40DF">
        <w:rPr>
          <w:rFonts w:ascii="Noto Sans" w:eastAsia="Noto Sans" w:hAnsi="Noto Sans" w:cs="Noto Sans"/>
          <w:sz w:val="22"/>
          <w:szCs w:val="22"/>
        </w:rPr>
        <w:t>, la compañía presentará</w:t>
      </w:r>
      <w:r>
        <w:rPr>
          <w:rFonts w:ascii="Noto Sans" w:eastAsia="Noto Sans" w:hAnsi="Noto Sans" w:cs="Noto Sans"/>
          <w:sz w:val="22"/>
          <w:szCs w:val="22"/>
        </w:rPr>
        <w:t xml:space="preserve"> “</w:t>
      </w:r>
      <w:r w:rsidRPr="00BD219B">
        <w:rPr>
          <w:rFonts w:ascii="Noto Sans" w:eastAsia="Noto Sans" w:hAnsi="Noto Sans" w:cs="Noto Sans"/>
          <w:sz w:val="22"/>
          <w:szCs w:val="22"/>
        </w:rPr>
        <w:t>NUTREO® N</w:t>
      </w:r>
      <w:r>
        <w:rPr>
          <w:rFonts w:ascii="Noto Sans" w:eastAsia="Noto Sans" w:hAnsi="Noto Sans" w:cs="Noto Sans"/>
          <w:sz w:val="22"/>
          <w:szCs w:val="22"/>
        </w:rPr>
        <w:t>,</w:t>
      </w:r>
      <w:r w:rsidRPr="00BD219B">
        <w:rPr>
          <w:rFonts w:ascii="Noto Sans" w:eastAsia="Noto Sans" w:hAnsi="Noto Sans" w:cs="Noto Sans"/>
          <w:sz w:val="22"/>
          <w:szCs w:val="22"/>
        </w:rPr>
        <w:t xml:space="preserve"> resultados que confirman la innovación</w:t>
      </w:r>
      <w:r>
        <w:rPr>
          <w:rFonts w:ascii="Noto Sans" w:eastAsia="Noto Sans" w:hAnsi="Noto Sans" w:cs="Noto Sans"/>
          <w:sz w:val="22"/>
          <w:szCs w:val="22"/>
        </w:rPr>
        <w:t>”, un espacio donde se compartirán</w:t>
      </w:r>
      <w:r w:rsidRPr="006D40DF">
        <w:rPr>
          <w:rFonts w:ascii="Noto Sans" w:eastAsia="Noto Sans" w:hAnsi="Noto Sans" w:cs="Noto Sans"/>
          <w:sz w:val="22"/>
          <w:szCs w:val="22"/>
        </w:rPr>
        <w:t xml:space="preserve"> </w:t>
      </w:r>
      <w:r>
        <w:rPr>
          <w:rFonts w:ascii="Noto Sans" w:eastAsia="Noto Sans" w:hAnsi="Noto Sans" w:cs="Noto Sans"/>
          <w:sz w:val="22"/>
          <w:szCs w:val="22"/>
        </w:rPr>
        <w:t xml:space="preserve">datos </w:t>
      </w:r>
      <w:r w:rsidRPr="006D40DF">
        <w:rPr>
          <w:rFonts w:ascii="Noto Sans" w:eastAsia="Noto Sans" w:hAnsi="Noto Sans" w:cs="Noto Sans"/>
          <w:sz w:val="22"/>
          <w:szCs w:val="22"/>
        </w:rPr>
        <w:t xml:space="preserve">obtenidos </w:t>
      </w:r>
      <w:r>
        <w:rPr>
          <w:rFonts w:ascii="Noto Sans" w:eastAsia="Noto Sans" w:hAnsi="Noto Sans" w:cs="Noto Sans"/>
          <w:sz w:val="22"/>
          <w:szCs w:val="22"/>
        </w:rPr>
        <w:t>a campo que dan cuenta de los aportes d</w:t>
      </w:r>
      <w:r w:rsidRPr="006D40DF">
        <w:rPr>
          <w:rFonts w:ascii="Noto Sans" w:eastAsia="Noto Sans" w:hAnsi="Noto Sans" w:cs="Noto Sans"/>
          <w:sz w:val="22"/>
          <w:szCs w:val="22"/>
        </w:rPr>
        <w:t>el producto desde su lanzamiento, junto con sus diferentes alternativas de uso y aplicación.</w:t>
      </w:r>
    </w:p>
    <w:p w14:paraId="40D216FF"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lastRenderedPageBreak/>
        <w:t>NUTREO® N se aplica en una dosis de 6 litros por hectárea, equivalente a 100 kilos de fertilizante nitrogenado tradicional. En trigo, su utilización durante el macollaje permite reemplazar la aplicación de urea, simplificando la operatoria de refertilización y manteniendo el potencial de rendimiento.</w:t>
      </w:r>
      <w:r>
        <w:rPr>
          <w:rFonts w:ascii="Noto Sans" w:eastAsia="Noto Sans" w:hAnsi="Noto Sans" w:cs="Noto Sans"/>
          <w:sz w:val="22"/>
          <w:szCs w:val="22"/>
        </w:rPr>
        <w:t xml:space="preserve"> </w:t>
      </w:r>
      <w:r w:rsidRPr="006D40DF">
        <w:rPr>
          <w:rFonts w:ascii="Noto Sans" w:eastAsia="Noto Sans" w:hAnsi="Noto Sans" w:cs="Noto Sans"/>
          <w:sz w:val="22"/>
          <w:szCs w:val="22"/>
        </w:rPr>
        <w:t>También puede incorporarse como complemento de la estrategia nutricional tradicional para potenciar el rendimiento final</w:t>
      </w:r>
      <w:r>
        <w:rPr>
          <w:rFonts w:ascii="Noto Sans" w:eastAsia="Noto Sans" w:hAnsi="Noto Sans" w:cs="Noto Sans"/>
          <w:sz w:val="22"/>
          <w:szCs w:val="22"/>
        </w:rPr>
        <w:t xml:space="preserve"> y</w:t>
      </w:r>
      <w:r w:rsidRPr="006D40DF">
        <w:rPr>
          <w:rFonts w:ascii="Noto Sans" w:eastAsia="Noto Sans" w:hAnsi="Noto Sans" w:cs="Noto Sans"/>
          <w:sz w:val="22"/>
          <w:szCs w:val="22"/>
        </w:rPr>
        <w:t xml:space="preserve"> </w:t>
      </w:r>
      <w:r>
        <w:rPr>
          <w:rFonts w:ascii="Noto Sans" w:eastAsia="Noto Sans" w:hAnsi="Noto Sans" w:cs="Noto Sans"/>
          <w:sz w:val="22"/>
          <w:szCs w:val="22"/>
        </w:rPr>
        <w:t>e</w:t>
      </w:r>
      <w:r w:rsidRPr="006D40DF">
        <w:rPr>
          <w:rFonts w:ascii="Noto Sans" w:eastAsia="Noto Sans" w:hAnsi="Noto Sans" w:cs="Noto Sans"/>
          <w:sz w:val="22"/>
          <w:szCs w:val="22"/>
        </w:rPr>
        <w:t>n aplicaciones más tardías en trigo, constituye además una herramienta para mejorar los niveles de proteína.</w:t>
      </w:r>
    </w:p>
    <w:p w14:paraId="56C9173E"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A su aporte nutricional, NUTREO® N suma menores costos logísticos, mayor flexibilidad y simplicidad operativa y una reducción de las emisiones asociadas al transporte y movimiento de grandes volúmenes de fertilizante. Su formulación permite aplicarlo con pulverizadora y combinarlo</w:t>
      </w:r>
      <w:r>
        <w:rPr>
          <w:rFonts w:ascii="Noto Sans" w:eastAsia="Noto Sans" w:hAnsi="Noto Sans" w:cs="Noto Sans"/>
          <w:sz w:val="22"/>
          <w:szCs w:val="22"/>
        </w:rPr>
        <w:t xml:space="preserve"> </w:t>
      </w:r>
      <w:r w:rsidRPr="006D40DF">
        <w:rPr>
          <w:rFonts w:ascii="Noto Sans" w:eastAsia="Noto Sans" w:hAnsi="Noto Sans" w:cs="Noto Sans"/>
          <w:sz w:val="22"/>
          <w:szCs w:val="22"/>
        </w:rPr>
        <w:t>con otros tratamientos fitosanitarios.</w:t>
      </w:r>
    </w:p>
    <w:p w14:paraId="7B8D80DC" w14:textId="77777777" w:rsidR="00BE3AE0" w:rsidRPr="00CA038F" w:rsidRDefault="00BE3AE0" w:rsidP="00BE3AE0">
      <w:pPr>
        <w:spacing w:line="276" w:lineRule="auto"/>
        <w:jc w:val="both"/>
        <w:rPr>
          <w:rFonts w:ascii="Noto Sans" w:eastAsia="Noto Sans" w:hAnsi="Noto Sans" w:cs="Noto Sans"/>
          <w:b/>
          <w:bCs/>
          <w:sz w:val="22"/>
          <w:szCs w:val="22"/>
        </w:rPr>
      </w:pPr>
      <w:r w:rsidRPr="00CA038F">
        <w:rPr>
          <w:rFonts w:ascii="Noto Sans" w:eastAsia="Noto Sans" w:hAnsi="Noto Sans" w:cs="Noto Sans"/>
          <w:b/>
          <w:bCs/>
          <w:sz w:val="22"/>
          <w:szCs w:val="22"/>
        </w:rPr>
        <w:t>Lo que pasa arriba empieza abajo</w:t>
      </w:r>
    </w:p>
    <w:p w14:paraId="7E9561DE"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“En los próximos 90 días, un productor puede tomar más de 100 decisiones. Y como cada decisión deja huella, desarrollamos soluciones para acompañarlo frente a cada desafío”, señalaron desde la empresa.</w:t>
      </w:r>
    </w:p>
    <w:p w14:paraId="43D87BB5" w14:textId="77777777" w:rsidR="00BE3AE0" w:rsidRPr="006D40DF" w:rsidRDefault="00BE3AE0" w:rsidP="00BE3AE0">
      <w:pPr>
        <w:spacing w:line="276" w:lineRule="auto"/>
        <w:jc w:val="both"/>
        <w:rPr>
          <w:rFonts w:ascii="Noto Sans" w:eastAsia="Noto Sans" w:hAnsi="Noto Sans" w:cs="Noto Sans"/>
          <w:sz w:val="22"/>
          <w:szCs w:val="22"/>
        </w:rPr>
      </w:pPr>
      <w:r>
        <w:rPr>
          <w:rFonts w:ascii="Noto Sans" w:eastAsia="Noto Sans" w:hAnsi="Noto Sans" w:cs="Noto Sans"/>
          <w:sz w:val="22"/>
          <w:szCs w:val="22"/>
        </w:rPr>
        <w:t>En el arranque, los suelos son un primer gran desafío. L</w:t>
      </w:r>
      <w:r w:rsidRPr="006D40DF">
        <w:rPr>
          <w:rFonts w:ascii="Noto Sans" w:eastAsia="Noto Sans" w:hAnsi="Noto Sans" w:cs="Noto Sans"/>
          <w:sz w:val="22"/>
          <w:szCs w:val="22"/>
        </w:rPr>
        <w:t>a compactación</w:t>
      </w:r>
      <w:r>
        <w:rPr>
          <w:rFonts w:ascii="Noto Sans" w:eastAsia="Noto Sans" w:hAnsi="Noto Sans" w:cs="Noto Sans"/>
          <w:sz w:val="22"/>
          <w:szCs w:val="22"/>
        </w:rPr>
        <w:t xml:space="preserve"> </w:t>
      </w:r>
      <w:r w:rsidRPr="006D40DF">
        <w:rPr>
          <w:rFonts w:ascii="Noto Sans" w:eastAsia="Noto Sans" w:hAnsi="Noto Sans" w:cs="Noto Sans"/>
          <w:sz w:val="22"/>
          <w:szCs w:val="22"/>
        </w:rPr>
        <w:t xml:space="preserve">puede provocar pérdidas de rendimiento de entre un 10% y un 30%. Para UPL, la compactación no es solamente un problema físico del suelo, también </w:t>
      </w:r>
      <w:r>
        <w:rPr>
          <w:rFonts w:ascii="Noto Sans" w:eastAsia="Noto Sans" w:hAnsi="Noto Sans" w:cs="Noto Sans"/>
          <w:sz w:val="22"/>
          <w:szCs w:val="22"/>
        </w:rPr>
        <w:t>de</w:t>
      </w:r>
      <w:r w:rsidRPr="006D40DF">
        <w:rPr>
          <w:rFonts w:ascii="Noto Sans" w:eastAsia="Noto Sans" w:hAnsi="Noto Sans" w:cs="Noto Sans"/>
          <w:sz w:val="22"/>
          <w:szCs w:val="22"/>
        </w:rPr>
        <w:t xml:space="preserve"> decisiones de manejo. En este contexto, las raíces adquieren un papel fundamental, ya que constituyen una de las principales herramientas biológicas para recuperar la estructura</w:t>
      </w:r>
      <w:r>
        <w:rPr>
          <w:rFonts w:ascii="Noto Sans" w:eastAsia="Noto Sans" w:hAnsi="Noto Sans" w:cs="Noto Sans"/>
          <w:sz w:val="22"/>
          <w:szCs w:val="22"/>
        </w:rPr>
        <w:t>.</w:t>
      </w:r>
    </w:p>
    <w:p w14:paraId="630EA48C" w14:textId="77777777" w:rsidR="00BE3AE0" w:rsidRPr="006D40DF" w:rsidRDefault="00BE3AE0" w:rsidP="00BE3AE0">
      <w:pPr>
        <w:spacing w:line="276" w:lineRule="auto"/>
        <w:jc w:val="both"/>
        <w:rPr>
          <w:rFonts w:ascii="Noto Sans" w:eastAsia="Noto Sans" w:hAnsi="Noto Sans" w:cs="Noto Sans"/>
          <w:sz w:val="22"/>
          <w:szCs w:val="22"/>
        </w:rPr>
      </w:pPr>
      <w:r>
        <w:rPr>
          <w:rFonts w:ascii="Noto Sans" w:eastAsia="Noto Sans" w:hAnsi="Noto Sans" w:cs="Noto Sans"/>
          <w:sz w:val="22"/>
          <w:szCs w:val="22"/>
        </w:rPr>
        <w:t xml:space="preserve">Una de las tecnologías que tendrán gran relevancia en la conversación del congreso será </w:t>
      </w:r>
      <w:r w:rsidRPr="006D40DF">
        <w:rPr>
          <w:rFonts w:ascii="Noto Sans" w:eastAsia="Noto Sans" w:hAnsi="Noto Sans" w:cs="Noto Sans"/>
          <w:sz w:val="22"/>
          <w:szCs w:val="22"/>
        </w:rPr>
        <w:t>NITRAGIN Génesis</w:t>
      </w:r>
      <w:r>
        <w:rPr>
          <w:rFonts w:ascii="Noto Sans" w:eastAsia="Noto Sans" w:hAnsi="Noto Sans" w:cs="Noto Sans"/>
          <w:sz w:val="22"/>
          <w:szCs w:val="22"/>
        </w:rPr>
        <w:t xml:space="preserve">, </w:t>
      </w:r>
      <w:r w:rsidRPr="006D40DF">
        <w:rPr>
          <w:rFonts w:ascii="Noto Sans" w:eastAsia="Noto Sans" w:hAnsi="Noto Sans" w:cs="Noto Sans"/>
          <w:sz w:val="22"/>
          <w:szCs w:val="22"/>
        </w:rPr>
        <w:t>un inoculante readymix que combina cepas de Bradyrhizobium y Azospirillum</w:t>
      </w:r>
      <w:r>
        <w:rPr>
          <w:rFonts w:ascii="Noto Sans" w:eastAsia="Noto Sans" w:hAnsi="Noto Sans" w:cs="Noto Sans"/>
          <w:sz w:val="22"/>
          <w:szCs w:val="22"/>
        </w:rPr>
        <w:t xml:space="preserve"> y </w:t>
      </w:r>
      <w:r w:rsidRPr="006D40DF">
        <w:rPr>
          <w:rFonts w:ascii="Noto Sans" w:eastAsia="Noto Sans" w:hAnsi="Noto Sans" w:cs="Noto Sans"/>
          <w:sz w:val="22"/>
          <w:szCs w:val="22"/>
        </w:rPr>
        <w:t>promueve un mayor desarrollo radicular, incrementa la nodulación y la fijación biológica de nitrógeno</w:t>
      </w:r>
      <w:r>
        <w:rPr>
          <w:rFonts w:ascii="Noto Sans" w:eastAsia="Noto Sans" w:hAnsi="Noto Sans" w:cs="Noto Sans"/>
          <w:sz w:val="22"/>
          <w:szCs w:val="22"/>
        </w:rPr>
        <w:t xml:space="preserve">, </w:t>
      </w:r>
      <w:r w:rsidRPr="006D40DF">
        <w:rPr>
          <w:rFonts w:ascii="Noto Sans" w:eastAsia="Noto Sans" w:hAnsi="Noto Sans" w:cs="Noto Sans"/>
          <w:sz w:val="22"/>
          <w:szCs w:val="22"/>
        </w:rPr>
        <w:t>contribuye</w:t>
      </w:r>
      <w:r>
        <w:rPr>
          <w:rFonts w:ascii="Noto Sans" w:eastAsia="Noto Sans" w:hAnsi="Noto Sans" w:cs="Noto Sans"/>
          <w:sz w:val="22"/>
          <w:szCs w:val="22"/>
        </w:rPr>
        <w:t>ndo</w:t>
      </w:r>
      <w:r w:rsidRPr="006D40DF">
        <w:rPr>
          <w:rFonts w:ascii="Noto Sans" w:eastAsia="Noto Sans" w:hAnsi="Noto Sans" w:cs="Noto Sans"/>
          <w:sz w:val="22"/>
          <w:szCs w:val="22"/>
        </w:rPr>
        <w:t xml:space="preserve"> a mejorar el rendimiento.</w:t>
      </w:r>
    </w:p>
    <w:p w14:paraId="43CB67E0"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 xml:space="preserve">El martes 4 de agosto, </w:t>
      </w:r>
      <w:r>
        <w:rPr>
          <w:rFonts w:ascii="Noto Sans" w:eastAsia="Noto Sans" w:hAnsi="Noto Sans" w:cs="Noto Sans"/>
          <w:sz w:val="22"/>
          <w:szCs w:val="22"/>
        </w:rPr>
        <w:t>a las</w:t>
      </w:r>
      <w:r w:rsidRPr="006D40DF">
        <w:rPr>
          <w:rFonts w:ascii="Noto Sans" w:eastAsia="Noto Sans" w:hAnsi="Noto Sans" w:cs="Noto Sans"/>
          <w:sz w:val="22"/>
          <w:szCs w:val="22"/>
        </w:rPr>
        <w:t xml:space="preserve"> 16.15</w:t>
      </w:r>
      <w:r>
        <w:rPr>
          <w:rFonts w:ascii="Noto Sans" w:eastAsia="Noto Sans" w:hAnsi="Noto Sans" w:cs="Noto Sans"/>
          <w:sz w:val="22"/>
          <w:szCs w:val="22"/>
        </w:rPr>
        <w:t>, en la sala Agritec</w:t>
      </w:r>
      <w:r w:rsidRPr="006D40DF">
        <w:rPr>
          <w:rFonts w:ascii="Noto Sans" w:eastAsia="Noto Sans" w:hAnsi="Noto Sans" w:cs="Noto Sans"/>
          <w:sz w:val="22"/>
          <w:szCs w:val="22"/>
        </w:rPr>
        <w:t xml:space="preserve">, </w:t>
      </w:r>
      <w:r>
        <w:rPr>
          <w:rFonts w:ascii="Noto Sans" w:eastAsia="Noto Sans" w:hAnsi="Noto Sans" w:cs="Noto Sans"/>
          <w:sz w:val="22"/>
          <w:szCs w:val="22"/>
        </w:rPr>
        <w:t>bajo el título “</w:t>
      </w:r>
      <w:r w:rsidRPr="00BD219B">
        <w:rPr>
          <w:rFonts w:ascii="Noto Sans" w:eastAsia="Noto Sans" w:hAnsi="Noto Sans" w:cs="Noto Sans"/>
          <w:sz w:val="22"/>
          <w:szCs w:val="22"/>
        </w:rPr>
        <w:t xml:space="preserve">El poder oculto bajo el suelo: raíces, microorganismos y productividad”, </w:t>
      </w:r>
      <w:r>
        <w:rPr>
          <w:rFonts w:ascii="Noto Sans" w:eastAsia="Noto Sans" w:hAnsi="Noto Sans" w:cs="Noto Sans"/>
          <w:sz w:val="22"/>
          <w:szCs w:val="22"/>
        </w:rPr>
        <w:t xml:space="preserve">se presentarán </w:t>
      </w:r>
      <w:r w:rsidRPr="006D40DF">
        <w:rPr>
          <w:rFonts w:ascii="Noto Sans" w:eastAsia="Noto Sans" w:hAnsi="Noto Sans" w:cs="Noto Sans"/>
          <w:sz w:val="22"/>
          <w:szCs w:val="22"/>
        </w:rPr>
        <w:t>los aportes de NITRAGIN® Génesis en temas como la reducción de los efectos de la compactación y el incremento del rendimiento de los cultivos.</w:t>
      </w:r>
    </w:p>
    <w:p w14:paraId="6D5CCE1F"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Los inoculantes NITRAGIN®</w:t>
      </w:r>
      <w:r>
        <w:rPr>
          <w:rFonts w:ascii="Noto Sans" w:eastAsia="Noto Sans" w:hAnsi="Noto Sans" w:cs="Noto Sans"/>
          <w:sz w:val="22"/>
          <w:szCs w:val="22"/>
        </w:rPr>
        <w:t xml:space="preserve"> son</w:t>
      </w:r>
      <w:r w:rsidRPr="006D40DF">
        <w:rPr>
          <w:rFonts w:ascii="Noto Sans" w:eastAsia="Noto Sans" w:hAnsi="Noto Sans" w:cs="Noto Sans"/>
          <w:sz w:val="22"/>
          <w:szCs w:val="22"/>
        </w:rPr>
        <w:t xml:space="preserve"> desarrollados por Novonesis y comercializados en el país por UPL Corp Argentina</w:t>
      </w:r>
      <w:r>
        <w:rPr>
          <w:rFonts w:ascii="Noto Sans" w:eastAsia="Noto Sans" w:hAnsi="Noto Sans" w:cs="Noto Sans"/>
          <w:sz w:val="22"/>
          <w:szCs w:val="22"/>
        </w:rPr>
        <w:t>. Junto a</w:t>
      </w:r>
      <w:r w:rsidRPr="006D40DF">
        <w:rPr>
          <w:rFonts w:ascii="Noto Sans" w:eastAsia="Noto Sans" w:hAnsi="Noto Sans" w:cs="Noto Sans"/>
          <w:sz w:val="22"/>
          <w:szCs w:val="22"/>
        </w:rPr>
        <w:t xml:space="preserve">l portafolio de </w:t>
      </w:r>
      <w:r>
        <w:rPr>
          <w:rFonts w:ascii="Noto Sans" w:eastAsia="Noto Sans" w:hAnsi="Noto Sans" w:cs="Noto Sans"/>
          <w:sz w:val="22"/>
          <w:szCs w:val="22"/>
        </w:rPr>
        <w:t>la</w:t>
      </w:r>
      <w:r w:rsidRPr="006D40DF">
        <w:rPr>
          <w:rFonts w:ascii="Noto Sans" w:eastAsia="Noto Sans" w:hAnsi="Noto Sans" w:cs="Noto Sans"/>
          <w:sz w:val="22"/>
          <w:szCs w:val="22"/>
        </w:rPr>
        <w:t xml:space="preserve"> división Natural Plant Protection</w:t>
      </w:r>
      <w:r>
        <w:rPr>
          <w:rFonts w:ascii="Noto Sans" w:eastAsia="Noto Sans" w:hAnsi="Noto Sans" w:cs="Noto Sans"/>
          <w:sz w:val="22"/>
          <w:szCs w:val="22"/>
        </w:rPr>
        <w:t xml:space="preserve"> (</w:t>
      </w:r>
      <w:r w:rsidRPr="006D40DF">
        <w:rPr>
          <w:rFonts w:ascii="Noto Sans" w:eastAsia="Noto Sans" w:hAnsi="Noto Sans" w:cs="Noto Sans"/>
          <w:sz w:val="22"/>
          <w:szCs w:val="22"/>
        </w:rPr>
        <w:t>NPP</w:t>
      </w:r>
      <w:r>
        <w:rPr>
          <w:rFonts w:ascii="Noto Sans" w:eastAsia="Noto Sans" w:hAnsi="Noto Sans" w:cs="Noto Sans"/>
          <w:sz w:val="22"/>
          <w:szCs w:val="22"/>
        </w:rPr>
        <w:t xml:space="preserve">) de UPL conforman el paquete de soluciones </w:t>
      </w:r>
      <w:r w:rsidRPr="006D40DF">
        <w:rPr>
          <w:rFonts w:ascii="Noto Sans" w:eastAsia="Noto Sans" w:hAnsi="Noto Sans" w:cs="Noto Sans"/>
          <w:sz w:val="22"/>
          <w:szCs w:val="22"/>
        </w:rPr>
        <w:t xml:space="preserve">biológicas </w:t>
      </w:r>
      <w:r>
        <w:rPr>
          <w:rFonts w:ascii="Noto Sans" w:eastAsia="Noto Sans" w:hAnsi="Noto Sans" w:cs="Noto Sans"/>
          <w:sz w:val="22"/>
          <w:szCs w:val="22"/>
        </w:rPr>
        <w:t xml:space="preserve">más potentes del mercado. </w:t>
      </w:r>
    </w:p>
    <w:p w14:paraId="1C5C5B9F" w14:textId="77777777" w:rsidR="00BE3AE0" w:rsidRPr="00CA038F" w:rsidRDefault="00BE3AE0" w:rsidP="00BE3AE0">
      <w:pPr>
        <w:spacing w:line="276" w:lineRule="auto"/>
        <w:jc w:val="both"/>
        <w:rPr>
          <w:rFonts w:ascii="Noto Sans" w:eastAsia="Noto Sans" w:hAnsi="Noto Sans" w:cs="Noto Sans"/>
          <w:b/>
          <w:bCs/>
          <w:sz w:val="22"/>
          <w:szCs w:val="22"/>
        </w:rPr>
      </w:pPr>
      <w:r w:rsidRPr="00CA038F">
        <w:rPr>
          <w:rFonts w:ascii="Noto Sans" w:eastAsia="Noto Sans" w:hAnsi="Noto Sans" w:cs="Noto Sans"/>
          <w:b/>
          <w:bCs/>
          <w:sz w:val="22"/>
          <w:szCs w:val="22"/>
        </w:rPr>
        <w:lastRenderedPageBreak/>
        <w:t>Hay un plan para cada cultivo</w:t>
      </w:r>
    </w:p>
    <w:p w14:paraId="1E33ACDE"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De cara a la nueva campaña gruesa, UPL presentará además sus programas para soja y maíz, conformados por más de 25 soluciones que integran herbicidas, fungicidas, inoculantes, bioestimulantes y tecnologías para la nutrición y recuperación de los cultivos.</w:t>
      </w:r>
    </w:p>
    <w:p w14:paraId="3F7B8CC7"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Para el manejo de malezas en maíz se destacan DINAMIC® y WINGER®, este último formulado a base de piroxasulfone, especialmente indicado para escenarios con elevada presión de Amaranthus y gramíneas.</w:t>
      </w:r>
    </w:p>
    <w:p w14:paraId="01D476C1"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 xml:space="preserve">Para los barbechos, la compañía cuenta con LIFELINE® SYNC, una combinación de glufosinato y S-metolacloro que integra acción de </w:t>
      </w:r>
      <w:r>
        <w:rPr>
          <w:rFonts w:ascii="Noto Sans" w:eastAsia="Noto Sans" w:hAnsi="Noto Sans" w:cs="Noto Sans"/>
          <w:sz w:val="22"/>
          <w:szCs w:val="22"/>
        </w:rPr>
        <w:t>control</w:t>
      </w:r>
      <w:r w:rsidRPr="006D40DF">
        <w:rPr>
          <w:rFonts w:ascii="Noto Sans" w:eastAsia="Noto Sans" w:hAnsi="Noto Sans" w:cs="Noto Sans"/>
          <w:sz w:val="22"/>
          <w:szCs w:val="22"/>
        </w:rPr>
        <w:t xml:space="preserve"> y residualidad en una misma herramienta.</w:t>
      </w:r>
    </w:p>
    <w:p w14:paraId="4EDC7007" w14:textId="77777777" w:rsidR="00BE3AE0" w:rsidRPr="006D40DF" w:rsidRDefault="00BE3AE0" w:rsidP="00BE3AE0">
      <w:pPr>
        <w:spacing w:line="276" w:lineRule="auto"/>
        <w:jc w:val="both"/>
        <w:rPr>
          <w:rFonts w:ascii="Noto Sans" w:eastAsia="Noto Sans" w:hAnsi="Noto Sans" w:cs="Noto Sans"/>
          <w:sz w:val="22"/>
          <w:szCs w:val="22"/>
        </w:rPr>
      </w:pPr>
      <w:r>
        <w:rPr>
          <w:rFonts w:ascii="Noto Sans" w:eastAsia="Noto Sans" w:hAnsi="Noto Sans" w:cs="Noto Sans"/>
          <w:sz w:val="22"/>
          <w:szCs w:val="22"/>
        </w:rPr>
        <w:t>Para</w:t>
      </w:r>
      <w:r w:rsidRPr="006D40DF">
        <w:rPr>
          <w:rFonts w:ascii="Noto Sans" w:eastAsia="Noto Sans" w:hAnsi="Noto Sans" w:cs="Noto Sans"/>
          <w:sz w:val="22"/>
          <w:szCs w:val="22"/>
        </w:rPr>
        <w:t xml:space="preserve"> soja, UPL </w:t>
      </w:r>
      <w:r>
        <w:rPr>
          <w:rFonts w:ascii="Noto Sans" w:eastAsia="Noto Sans" w:hAnsi="Noto Sans" w:cs="Noto Sans"/>
          <w:sz w:val="22"/>
          <w:szCs w:val="22"/>
        </w:rPr>
        <w:t>destacará</w:t>
      </w:r>
      <w:r w:rsidRPr="006D40DF">
        <w:rPr>
          <w:rFonts w:ascii="Noto Sans" w:eastAsia="Noto Sans" w:hAnsi="Noto Sans" w:cs="Noto Sans"/>
          <w:sz w:val="22"/>
          <w:szCs w:val="22"/>
        </w:rPr>
        <w:t xml:space="preserve"> SHUTDOWN® ULTRA, un herbicida preemergente de triple mezcla que combina sulfentrazone, metribuzin y </w:t>
      </w:r>
      <w:r>
        <w:rPr>
          <w:rFonts w:ascii="Noto Sans" w:eastAsia="Noto Sans" w:hAnsi="Noto Sans" w:cs="Noto Sans"/>
          <w:sz w:val="22"/>
          <w:szCs w:val="22"/>
        </w:rPr>
        <w:t>s</w:t>
      </w:r>
      <w:r w:rsidRPr="006D40DF">
        <w:rPr>
          <w:rFonts w:ascii="Noto Sans" w:eastAsia="Noto Sans" w:hAnsi="Noto Sans" w:cs="Noto Sans"/>
          <w:sz w:val="22"/>
          <w:szCs w:val="22"/>
        </w:rPr>
        <w:t>-metolacloro. La incorporación de metribuzin fortalece el control sobre Amaranthus y amplía el espectro sobre gramíneas y malezas crucíferas.</w:t>
      </w:r>
    </w:p>
    <w:p w14:paraId="79C292EF"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Dentro del programa para soja también se destaca GOLDLEAF®, un fungicida foliar que combina azoxistrobina, protioconazole y mancozeb en una formulación WDG de alta calidad de disolución.</w:t>
      </w:r>
    </w:p>
    <w:p w14:paraId="388BDC3A"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Su combinación de ingredientes activos ofrece acción sistémica y multisitio, actuando sobre ocho sitios de la célula del hongo. Esta característica lo convierte en una herramienta especialmente valiosa para el manejo de enfermedades y para reducir el riesgo de aparición de resistencias.</w:t>
      </w:r>
    </w:p>
    <w:p w14:paraId="688C6B38"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 xml:space="preserve">El portafolio </w:t>
      </w:r>
      <w:r>
        <w:rPr>
          <w:rFonts w:ascii="Noto Sans" w:eastAsia="Noto Sans" w:hAnsi="Noto Sans" w:cs="Noto Sans"/>
          <w:sz w:val="22"/>
          <w:szCs w:val="22"/>
        </w:rPr>
        <w:t xml:space="preserve">de biosoluciones de la división </w:t>
      </w:r>
      <w:r w:rsidRPr="006D40DF">
        <w:rPr>
          <w:rFonts w:ascii="Noto Sans" w:eastAsia="Noto Sans" w:hAnsi="Noto Sans" w:cs="Noto Sans"/>
          <w:sz w:val="22"/>
          <w:szCs w:val="22"/>
        </w:rPr>
        <w:t>NPP de UPL incluye además herramientas dirigidas a acompañar a los cultivos frente a diferentes situaciones de estrés.</w:t>
      </w:r>
    </w:p>
    <w:p w14:paraId="6DFA2E7D"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BIOTRON® PLUS, formulado con folcisteína, macro y micronutrientes, está recomendado para favorecer la recuperación del cultivo después de eventos como granizo, golpes de calor o heladas.</w:t>
      </w:r>
    </w:p>
    <w:p w14:paraId="31D667DF"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Frente a situaciones de fitotoxicidad provocadas por herbicidas, derivas o carryover en el suelo, la compañía propone OPTIMAT®, una solución con capacidad para favorecer la desintoxicación y recuperación de las plantas. En soja puede utilizarse junto con herbicidas postemergentes para reducir el impacto que estos tratamientos pueden generar sobre el cultivo.</w:t>
      </w:r>
    </w:p>
    <w:p w14:paraId="095BB699"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lastRenderedPageBreak/>
        <w:t>El programa se completa con BIOZYME® TF, un extracto vegetal que estimula la producción de hormonas vinculadas con el crecimiento. Aplicado en momentos estratégicos, como V6 en maíz, contribuye a incrementar la tasa de crecimiento y la fijación de estructuras reproductivas.</w:t>
      </w:r>
    </w:p>
    <w:p w14:paraId="1E78C43B"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En tratamientos de semillas, BIOZYME® TF promueve una emergencia más rápida y homogénea y favorece el establecimiento inicial del cultivo. Al tratarse de un extracto vegetal y no de un organismo vivo, puede utilizarse en combinación con inoculantes sin requerir condiciones especiales de conservación.</w:t>
      </w:r>
    </w:p>
    <w:p w14:paraId="1A0CCB33" w14:textId="77777777" w:rsidR="00BE3AE0" w:rsidRPr="006D40DF" w:rsidRDefault="00BE3AE0" w:rsidP="00BE3AE0">
      <w:pPr>
        <w:spacing w:line="276" w:lineRule="auto"/>
        <w:jc w:val="both"/>
        <w:rPr>
          <w:rFonts w:ascii="Noto Sans" w:eastAsia="Noto Sans" w:hAnsi="Noto Sans" w:cs="Noto Sans"/>
          <w:sz w:val="22"/>
          <w:szCs w:val="22"/>
        </w:rPr>
      </w:pPr>
      <w:r w:rsidRPr="006D40DF">
        <w:rPr>
          <w:rFonts w:ascii="Noto Sans" w:eastAsia="Noto Sans" w:hAnsi="Noto Sans" w:cs="Noto Sans"/>
          <w:sz w:val="22"/>
          <w:szCs w:val="22"/>
        </w:rPr>
        <w:t>Con esta combinación de protección de cultivos, biosoluciones y conocimiento agronómico, UPL llegará a Aapresid 2026 para conversar sobre los problemas que preocupan a productores y asesores, pero también para mostrar que ninguna decisión ocurre de manera aislada.</w:t>
      </w:r>
      <w:r>
        <w:rPr>
          <w:rFonts w:ascii="Noto Sans" w:eastAsia="Noto Sans" w:hAnsi="Noto Sans" w:cs="Noto Sans"/>
          <w:sz w:val="22"/>
          <w:szCs w:val="22"/>
        </w:rPr>
        <w:t xml:space="preserve"> </w:t>
      </w:r>
      <w:r w:rsidRPr="006D40DF">
        <w:rPr>
          <w:rFonts w:ascii="Noto Sans" w:eastAsia="Noto Sans" w:hAnsi="Noto Sans" w:cs="Noto Sans"/>
          <w:sz w:val="22"/>
          <w:szCs w:val="22"/>
        </w:rPr>
        <w:t>Porque debajo de cada cultivo hay un sistema en movimiento. Y detrás de cada resultado, una cadena de decisiones que deja huella.</w:t>
      </w:r>
    </w:p>
    <w:p w14:paraId="77DC2D1B" w14:textId="77777777" w:rsidR="00BE3AE0" w:rsidRPr="00CA038F" w:rsidRDefault="00BE3AE0" w:rsidP="00BE3AE0">
      <w:pPr>
        <w:spacing w:line="276" w:lineRule="auto"/>
        <w:jc w:val="both"/>
        <w:rPr>
          <w:rFonts w:ascii="Noto Sans" w:eastAsia="Noto Sans" w:hAnsi="Noto Sans" w:cs="Noto Sans"/>
          <w:i/>
          <w:iCs/>
          <w:sz w:val="22"/>
          <w:szCs w:val="22"/>
        </w:rPr>
      </w:pPr>
      <w:r w:rsidRPr="00CA038F">
        <w:rPr>
          <w:rFonts w:ascii="Noto Sans" w:eastAsia="Noto Sans" w:hAnsi="Noto Sans" w:cs="Noto Sans"/>
          <w:i/>
          <w:iCs/>
          <w:sz w:val="22"/>
          <w:szCs w:val="22"/>
        </w:rPr>
        <w:t>Acerca de UPL Corp</w:t>
      </w:r>
    </w:p>
    <w:p w14:paraId="54BB4CE2" w14:textId="77777777" w:rsidR="00BE3AE0" w:rsidRPr="00CA038F" w:rsidRDefault="00BE3AE0" w:rsidP="00BE3AE0">
      <w:pPr>
        <w:spacing w:line="276" w:lineRule="auto"/>
        <w:jc w:val="both"/>
        <w:rPr>
          <w:rFonts w:ascii="Noto Sans" w:eastAsia="Noto Sans" w:hAnsi="Noto Sans" w:cs="Noto Sans"/>
          <w:i/>
          <w:iCs/>
          <w:sz w:val="22"/>
          <w:szCs w:val="22"/>
        </w:rPr>
      </w:pPr>
      <w:r w:rsidRPr="00CA038F">
        <w:rPr>
          <w:rFonts w:ascii="Noto Sans" w:eastAsia="Noto Sans" w:hAnsi="Noto Sans" w:cs="Noto Sans"/>
          <w:i/>
          <w:iCs/>
          <w:sz w:val="22"/>
          <w:szCs w:val="22"/>
        </w:rPr>
        <w:t>UPL Corporation Ltd. (UPL Corp) es una empresa líder mundial en protección de cultivos y soluciones biológicas que define el futuro a través de la agricultura sostenible y una mentalidad de dar prioridad al productor. Con una cartera sólida de soluciones holísticas, UPL Corp tiene como objetivo crear crecimiento y prosperidad compartidos para las comunidades agrícolas, la agricultura y nuestro planeta. Como la plataforma principal del grupo UPL, UPL Corp contribuye con más de 3.200 millones de dólares en ingresos anuales y es líder en fomentar la colaboración a través de OpenAg® para desarrollar tecnologías avanzadas para la salud y la productividad de los cultivos.</w:t>
      </w:r>
    </w:p>
    <w:p w14:paraId="32C3B47F" w14:textId="77777777" w:rsidR="00A8456B" w:rsidRDefault="00A8456B"/>
    <w:sectPr w:rsidR="00A8456B">
      <w:headerReference w:type="default" r:id="rId6"/>
      <w:footerReference w:type="even" r:id="rId7"/>
      <w:footerReference w:type="default" r:id="rId8"/>
      <w:foot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B7BDA" w14:textId="77777777" w:rsidR="00446D83" w:rsidRDefault="00446D83" w:rsidP="00E64E75">
      <w:pPr>
        <w:spacing w:after="0" w:line="240" w:lineRule="auto"/>
      </w:pPr>
      <w:r>
        <w:separator/>
      </w:r>
    </w:p>
  </w:endnote>
  <w:endnote w:type="continuationSeparator" w:id="0">
    <w:p w14:paraId="0F953FA1" w14:textId="77777777" w:rsidR="00446D83" w:rsidRDefault="00446D83" w:rsidP="00E64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E0AB" w14:textId="39B10223" w:rsidR="002410E2" w:rsidRDefault="002410E2">
    <w:pPr>
      <w:pStyle w:val="Piedepgina"/>
    </w:pPr>
    <w:r>
      <w:rPr>
        <w:noProof/>
      </w:rPr>
      <mc:AlternateContent>
        <mc:Choice Requires="wps">
          <w:drawing>
            <wp:anchor distT="0" distB="0" distL="0" distR="0" simplePos="0" relativeHeight="251659264" behindDoc="0" locked="0" layoutInCell="1" allowOverlap="1" wp14:anchorId="56ABD0AE" wp14:editId="3445C000">
              <wp:simplePos x="635" y="635"/>
              <wp:positionH relativeFrom="page">
                <wp:align>right</wp:align>
              </wp:positionH>
              <wp:positionV relativeFrom="page">
                <wp:align>bottom</wp:align>
              </wp:positionV>
              <wp:extent cx="596265" cy="370205"/>
              <wp:effectExtent l="0" t="0" r="0" b="0"/>
              <wp:wrapNone/>
              <wp:docPr id="1494921438" name="Cuadro de texto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249D734E" w14:textId="475D4E67" w:rsidR="002410E2" w:rsidRPr="002410E2" w:rsidRDefault="002410E2" w:rsidP="002410E2">
                          <w:pPr>
                            <w:spacing w:after="0"/>
                            <w:rPr>
                              <w:rFonts w:ascii="Aptos" w:eastAsia="Aptos" w:hAnsi="Aptos" w:cs="Aptos"/>
                              <w:noProof/>
                              <w:color w:val="000000"/>
                              <w:sz w:val="20"/>
                              <w:szCs w:val="20"/>
                            </w:rPr>
                          </w:pPr>
                          <w:r w:rsidRPr="002410E2">
                            <w:rPr>
                              <w:rFonts w:ascii="Aptos" w:eastAsia="Aptos" w:hAnsi="Aptos" w:cs="Aptos"/>
                              <w:noProof/>
                              <w:color w:val="000000"/>
                              <w:sz w:val="20"/>
                              <w:szCs w:val="20"/>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ABD0AE" id="_x0000_t202" coordsize="21600,21600" o:spt="202" path="m,l,21600r21600,l21600,xe">
              <v:stroke joinstyle="miter"/>
              <v:path gradientshapeok="t" o:connecttype="rect"/>
            </v:shapetype>
            <v:shape id="Cuadro de texto 2" o:spid="_x0000_s1026" type="#_x0000_t202" alt="Public" style="position:absolute;margin-left:-4.25pt;margin-top:0;width:46.95pt;height:29.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" filled="f" stroked="f">
              <v:textbox style="mso-fit-shape-to-text:t" inset="0,0,20pt,15pt">
                <w:txbxContent>
                  <w:p w14:paraId="249D734E" w14:textId="475D4E67" w:rsidR="002410E2" w:rsidRPr="002410E2" w:rsidRDefault="002410E2" w:rsidP="002410E2">
                    <w:pPr>
                      <w:spacing w:after="0"/>
                      <w:rPr>
                        <w:rFonts w:ascii="Aptos" w:eastAsia="Aptos" w:hAnsi="Aptos" w:cs="Aptos"/>
                        <w:noProof/>
                        <w:color w:val="000000"/>
                        <w:sz w:val="20"/>
                        <w:szCs w:val="20"/>
                      </w:rPr>
                    </w:pPr>
                    <w:r w:rsidRPr="002410E2">
                      <w:rPr>
                        <w:rFonts w:ascii="Aptos" w:eastAsia="Aptos" w:hAnsi="Aptos" w:cs="Aptos"/>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5301A" w14:textId="5B9BAA9F" w:rsidR="00E64E75" w:rsidRPr="009A5C4D" w:rsidRDefault="00E64E75" w:rsidP="00E64E75">
    <w:pPr>
      <w:tabs>
        <w:tab w:val="center" w:pos="4536"/>
        <w:tab w:val="right" w:pos="9072"/>
        <w:tab w:val="left" w:pos="555"/>
        <w:tab w:val="left" w:pos="6930"/>
      </w:tabs>
      <w:spacing w:after="0" w:line="240" w:lineRule="auto"/>
      <w:jc w:val="right"/>
      <w:rPr>
        <w:rFonts w:ascii="Tahoma" w:eastAsia="Tahoma" w:hAnsi="Tahoma" w:cs="Tahoma"/>
        <w:sz w:val="14"/>
        <w:szCs w:val="14"/>
        <w:lang w:val="es-MX"/>
      </w:rPr>
    </w:pPr>
    <w:r w:rsidRPr="009A5C4D">
      <w:rPr>
        <w:rFonts w:ascii="Tahoma" w:eastAsia="Tahoma" w:hAnsi="Tahoma" w:cs="Tahoma"/>
        <w:sz w:val="14"/>
        <w:szCs w:val="14"/>
        <w:lang w:val="es-MX"/>
      </w:rPr>
      <w:t xml:space="preserve">Prensa: SAVIA Comunicación </w:t>
    </w:r>
  </w:p>
  <w:p w14:paraId="5E032DC9" w14:textId="2D89559C" w:rsidR="00E64E75" w:rsidRPr="009A5C4D" w:rsidRDefault="00E64E75" w:rsidP="00E64E75">
    <w:pPr>
      <w:tabs>
        <w:tab w:val="center" w:pos="4536"/>
        <w:tab w:val="right" w:pos="9072"/>
        <w:tab w:val="left" w:pos="555"/>
      </w:tabs>
      <w:spacing w:after="0" w:line="240" w:lineRule="auto"/>
      <w:jc w:val="right"/>
      <w:rPr>
        <w:rFonts w:ascii="Tahoma" w:eastAsia="Tahoma" w:hAnsi="Tahoma" w:cs="Tahoma"/>
        <w:sz w:val="14"/>
        <w:szCs w:val="14"/>
        <w:lang w:val="es-MX"/>
      </w:rPr>
    </w:pPr>
    <w:r w:rsidRPr="009A5C4D">
      <w:rPr>
        <w:rFonts w:ascii="Tahoma" w:eastAsia="Tahoma" w:hAnsi="Tahoma" w:cs="Tahoma"/>
        <w:sz w:val="14"/>
        <w:szCs w:val="14"/>
        <w:lang w:val="es-MX"/>
      </w:rPr>
      <w:t xml:space="preserve"> Tel. 011 6967 2255</w:t>
    </w:r>
    <w:r w:rsidR="000478D8">
      <w:rPr>
        <w:rFonts w:ascii="Tahoma" w:eastAsia="Tahoma" w:hAnsi="Tahoma" w:cs="Tahoma"/>
        <w:sz w:val="14"/>
        <w:szCs w:val="14"/>
        <w:lang w:val="es-MX"/>
      </w:rPr>
      <w:t xml:space="preserve"> </w:t>
    </w:r>
    <w:r w:rsidR="000478D8">
      <w:rPr>
        <w:rFonts w:ascii="Tahoma" w:eastAsia="Tahoma" w:hAnsi="Tahoma" w:cs="Tahoma"/>
        <w:color w:val="222222"/>
        <w:sz w:val="14"/>
        <w:szCs w:val="14"/>
      </w:rPr>
      <w:t>+</w:t>
    </w:r>
    <w:r w:rsidR="000478D8" w:rsidRPr="000478D8">
      <w:rPr>
        <w:rFonts w:ascii="Tahoma" w:eastAsia="Tahoma" w:hAnsi="Tahoma" w:cs="Tahoma"/>
        <w:sz w:val="14"/>
        <w:szCs w:val="14"/>
        <w:lang w:val="es-MX"/>
      </w:rPr>
      <w:t>54 9 11 6052 0241</w:t>
    </w:r>
  </w:p>
  <w:p w14:paraId="3B0057C7" w14:textId="77777777" w:rsidR="00E64E75" w:rsidRPr="009A5C4D" w:rsidRDefault="00000000" w:rsidP="00E64E75">
    <w:pPr>
      <w:tabs>
        <w:tab w:val="center" w:pos="4536"/>
        <w:tab w:val="right" w:pos="9072"/>
        <w:tab w:val="left" w:pos="555"/>
      </w:tabs>
      <w:spacing w:after="0" w:line="240" w:lineRule="auto"/>
      <w:jc w:val="right"/>
      <w:rPr>
        <w:rFonts w:ascii="Tahoma" w:eastAsia="Tahoma" w:hAnsi="Tahoma" w:cs="Tahoma"/>
        <w:sz w:val="14"/>
        <w:szCs w:val="14"/>
        <w:lang w:val="es-MX"/>
      </w:rPr>
    </w:pPr>
    <w:hyperlink r:id="rId1">
      <w:r w:rsidR="00E64E75" w:rsidRPr="009A5C4D">
        <w:rPr>
          <w:rFonts w:ascii="Tahoma" w:eastAsia="Tahoma" w:hAnsi="Tahoma" w:cs="Tahoma"/>
          <w:color w:val="0000FF"/>
          <w:sz w:val="14"/>
          <w:szCs w:val="14"/>
          <w:u w:val="single"/>
          <w:lang w:val="es-MX"/>
        </w:rPr>
        <w:t>prensa@saviacomunicacion.com.ar</w:t>
      </w:r>
    </w:hyperlink>
  </w:p>
  <w:p w14:paraId="0E8A970B" w14:textId="17344C61" w:rsidR="00E64E75" w:rsidRDefault="00000000" w:rsidP="00E64E75">
    <w:pPr>
      <w:pStyle w:val="Piedepgina"/>
      <w:jc w:val="right"/>
    </w:pPr>
    <w:hyperlink r:id="rId2">
      <w:r w:rsidR="00E64E75" w:rsidRPr="009A5C4D">
        <w:rPr>
          <w:rFonts w:ascii="Tahoma" w:eastAsia="Tahoma" w:hAnsi="Tahoma" w:cs="Tahoma"/>
          <w:sz w:val="14"/>
          <w:szCs w:val="14"/>
          <w:lang w:val="es-MX"/>
        </w:rPr>
        <w:t>www.saviacomunicacion.com.ar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0B71B" w14:textId="0DC6B5A6" w:rsidR="002410E2" w:rsidRDefault="002410E2">
    <w:pPr>
      <w:pStyle w:val="Piedepgina"/>
    </w:pPr>
    <w:r>
      <w:rPr>
        <w:noProof/>
      </w:rPr>
      <mc:AlternateContent>
        <mc:Choice Requires="wps">
          <w:drawing>
            <wp:anchor distT="0" distB="0" distL="0" distR="0" simplePos="0" relativeHeight="251658240" behindDoc="0" locked="0" layoutInCell="1" allowOverlap="1" wp14:anchorId="1B334C04" wp14:editId="4FA906B5">
              <wp:simplePos x="635" y="635"/>
              <wp:positionH relativeFrom="page">
                <wp:align>right</wp:align>
              </wp:positionH>
              <wp:positionV relativeFrom="page">
                <wp:align>bottom</wp:align>
              </wp:positionV>
              <wp:extent cx="596265" cy="370205"/>
              <wp:effectExtent l="0" t="0" r="0" b="0"/>
              <wp:wrapNone/>
              <wp:docPr id="1842513304" name="Cuadro de texto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59C360B2" w14:textId="37617BC9" w:rsidR="002410E2" w:rsidRPr="002410E2" w:rsidRDefault="002410E2" w:rsidP="002410E2">
                          <w:pPr>
                            <w:spacing w:after="0"/>
                            <w:rPr>
                              <w:rFonts w:ascii="Aptos" w:eastAsia="Aptos" w:hAnsi="Aptos" w:cs="Aptos"/>
                              <w:noProof/>
                              <w:color w:val="000000"/>
                              <w:sz w:val="20"/>
                              <w:szCs w:val="20"/>
                            </w:rPr>
                          </w:pPr>
                          <w:r w:rsidRPr="002410E2">
                            <w:rPr>
                              <w:rFonts w:ascii="Aptos" w:eastAsia="Aptos" w:hAnsi="Aptos" w:cs="Aptos"/>
                              <w:noProof/>
                              <w:color w:val="000000"/>
                              <w:sz w:val="20"/>
                              <w:szCs w:val="20"/>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B334C04" id="_x0000_t202" coordsize="21600,21600" o:spt="202" path="m,l,21600r21600,l21600,xe">
              <v:stroke joinstyle="miter"/>
              <v:path gradientshapeok="t" o:connecttype="rect"/>
            </v:shapetype>
            <v:shape id="Cuadro de texto 1" o:spid="_x0000_s1027" type="#_x0000_t202" alt="Public" style="position:absolute;margin-left:-4.25pt;margin-top:0;width:46.9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" filled="f" stroked="f">
              <v:textbox style="mso-fit-shape-to-text:t" inset="0,0,20pt,15pt">
                <w:txbxContent>
                  <w:p w14:paraId="59C360B2" w14:textId="37617BC9" w:rsidR="002410E2" w:rsidRPr="002410E2" w:rsidRDefault="002410E2" w:rsidP="002410E2">
                    <w:pPr>
                      <w:spacing w:after="0"/>
                      <w:rPr>
                        <w:rFonts w:ascii="Aptos" w:eastAsia="Aptos" w:hAnsi="Aptos" w:cs="Aptos"/>
                        <w:noProof/>
                        <w:color w:val="000000"/>
                        <w:sz w:val="20"/>
                        <w:szCs w:val="20"/>
                      </w:rPr>
                    </w:pPr>
                    <w:r w:rsidRPr="002410E2">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7B38F" w14:textId="77777777" w:rsidR="00446D83" w:rsidRDefault="00446D83" w:rsidP="00E64E75">
      <w:pPr>
        <w:spacing w:after="0" w:line="240" w:lineRule="auto"/>
      </w:pPr>
      <w:r>
        <w:separator/>
      </w:r>
    </w:p>
  </w:footnote>
  <w:footnote w:type="continuationSeparator" w:id="0">
    <w:p w14:paraId="04A5CA2D" w14:textId="77777777" w:rsidR="00446D83" w:rsidRDefault="00446D83" w:rsidP="00E64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44DD" w14:textId="10A4BB52" w:rsidR="00E64E75" w:rsidRDefault="00E64E75" w:rsidP="00E64E75">
    <w:pPr>
      <w:pStyle w:val="Encabezado"/>
      <w:jc w:val="right"/>
    </w:pPr>
    <w:r w:rsidRPr="00492154">
      <w:rPr>
        <w:noProof/>
      </w:rPr>
      <w:drawing>
        <wp:inline distT="0" distB="0" distL="0" distR="0" wp14:anchorId="1AB2E85F" wp14:editId="5C894519">
          <wp:extent cx="1468867" cy="704850"/>
          <wp:effectExtent l="0" t="0" r="0" b="0"/>
          <wp:docPr id="19011949"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949" name="Imagen 1" descr="Logotipo, nombre de la empresa&#10;&#10;El contenido generado por IA puede ser incorrecto."/>
                  <pic:cNvPicPr/>
                </pic:nvPicPr>
                <pic:blipFill>
                  <a:blip r:embed="rId1"/>
                  <a:stretch>
                    <a:fillRect/>
                  </a:stretch>
                </pic:blipFill>
                <pic:spPr>
                  <a:xfrm>
                    <a:off x="0" y="0"/>
                    <a:ext cx="1470305" cy="7055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56B"/>
    <w:rsid w:val="000478D8"/>
    <w:rsid w:val="00086C5A"/>
    <w:rsid w:val="000E2A41"/>
    <w:rsid w:val="001A3378"/>
    <w:rsid w:val="001C2AA0"/>
    <w:rsid w:val="002410E2"/>
    <w:rsid w:val="002D51AC"/>
    <w:rsid w:val="002F7A9D"/>
    <w:rsid w:val="00423CFD"/>
    <w:rsid w:val="00446D83"/>
    <w:rsid w:val="005E5138"/>
    <w:rsid w:val="006E1411"/>
    <w:rsid w:val="006F4649"/>
    <w:rsid w:val="0076632F"/>
    <w:rsid w:val="008B2C52"/>
    <w:rsid w:val="00947112"/>
    <w:rsid w:val="00A8456B"/>
    <w:rsid w:val="00AE356F"/>
    <w:rsid w:val="00AF1CB7"/>
    <w:rsid w:val="00BE3AE0"/>
    <w:rsid w:val="00BE5C96"/>
    <w:rsid w:val="00D5198C"/>
    <w:rsid w:val="00E64E75"/>
    <w:rsid w:val="00E775C0"/>
    <w:rsid w:val="00F45244"/>
    <w:rsid w:val="00FC667C"/>
    <w:rsid w:val="00FE56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4B48D"/>
  <w15:chartTrackingRefBased/>
  <w15:docId w15:val="{C476A6CB-02C4-4D05-8B42-F887D077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845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845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8456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8456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8456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845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45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45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45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456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8456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8456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8456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8456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8456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456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456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456B"/>
    <w:rPr>
      <w:rFonts w:eastAsiaTheme="majorEastAsia" w:cstheme="majorBidi"/>
      <w:color w:val="272727" w:themeColor="text1" w:themeTint="D8"/>
    </w:rPr>
  </w:style>
  <w:style w:type="paragraph" w:styleId="Ttulo">
    <w:name w:val="Title"/>
    <w:basedOn w:val="Normal"/>
    <w:next w:val="Normal"/>
    <w:link w:val="TtuloCar"/>
    <w:uiPriority w:val="10"/>
    <w:qFormat/>
    <w:rsid w:val="00A84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456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845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8456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456B"/>
    <w:pPr>
      <w:spacing w:before="160"/>
      <w:jc w:val="center"/>
    </w:pPr>
    <w:rPr>
      <w:i/>
      <w:iCs/>
      <w:color w:val="404040" w:themeColor="text1" w:themeTint="BF"/>
    </w:rPr>
  </w:style>
  <w:style w:type="character" w:customStyle="1" w:styleId="CitaCar">
    <w:name w:val="Cita Car"/>
    <w:basedOn w:val="Fuentedeprrafopredeter"/>
    <w:link w:val="Cita"/>
    <w:uiPriority w:val="29"/>
    <w:rsid w:val="00A8456B"/>
    <w:rPr>
      <w:i/>
      <w:iCs/>
      <w:color w:val="404040" w:themeColor="text1" w:themeTint="BF"/>
    </w:rPr>
  </w:style>
  <w:style w:type="paragraph" w:styleId="Prrafodelista">
    <w:name w:val="List Paragraph"/>
    <w:basedOn w:val="Normal"/>
    <w:uiPriority w:val="34"/>
    <w:qFormat/>
    <w:rsid w:val="00A8456B"/>
    <w:pPr>
      <w:ind w:left="720"/>
      <w:contextualSpacing/>
    </w:pPr>
  </w:style>
  <w:style w:type="character" w:styleId="nfasisintenso">
    <w:name w:val="Intense Emphasis"/>
    <w:basedOn w:val="Fuentedeprrafopredeter"/>
    <w:uiPriority w:val="21"/>
    <w:qFormat/>
    <w:rsid w:val="00A8456B"/>
    <w:rPr>
      <w:i/>
      <w:iCs/>
      <w:color w:val="2F5496" w:themeColor="accent1" w:themeShade="BF"/>
    </w:rPr>
  </w:style>
  <w:style w:type="paragraph" w:styleId="Citadestacada">
    <w:name w:val="Intense Quote"/>
    <w:basedOn w:val="Normal"/>
    <w:next w:val="Normal"/>
    <w:link w:val="CitadestacadaCar"/>
    <w:uiPriority w:val="30"/>
    <w:qFormat/>
    <w:rsid w:val="00A845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8456B"/>
    <w:rPr>
      <w:i/>
      <w:iCs/>
      <w:color w:val="2F5496" w:themeColor="accent1" w:themeShade="BF"/>
    </w:rPr>
  </w:style>
  <w:style w:type="character" w:styleId="Referenciaintensa">
    <w:name w:val="Intense Reference"/>
    <w:basedOn w:val="Fuentedeprrafopredeter"/>
    <w:uiPriority w:val="32"/>
    <w:qFormat/>
    <w:rsid w:val="00A8456B"/>
    <w:rPr>
      <w:b/>
      <w:bCs/>
      <w:smallCaps/>
      <w:color w:val="2F5496" w:themeColor="accent1" w:themeShade="BF"/>
      <w:spacing w:val="5"/>
    </w:rPr>
  </w:style>
  <w:style w:type="paragraph" w:styleId="Encabezado">
    <w:name w:val="header"/>
    <w:basedOn w:val="Normal"/>
    <w:link w:val="EncabezadoCar"/>
    <w:uiPriority w:val="99"/>
    <w:unhideWhenUsed/>
    <w:rsid w:val="00E64E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4E75"/>
  </w:style>
  <w:style w:type="paragraph" w:styleId="Piedepgina">
    <w:name w:val="footer"/>
    <w:basedOn w:val="Normal"/>
    <w:link w:val="PiedepginaCar"/>
    <w:uiPriority w:val="99"/>
    <w:unhideWhenUsed/>
    <w:rsid w:val="00E64E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4E75"/>
  </w:style>
  <w:style w:type="paragraph" w:styleId="Revisin">
    <w:name w:val="Revision"/>
    <w:hidden/>
    <w:uiPriority w:val="99"/>
    <w:semiHidden/>
    <w:rsid w:val="00AE35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saviacomunicacion.com.ar" TargetMode="External"/><Relationship Id="rId1" Type="http://schemas.openxmlformats.org/officeDocument/2006/relationships/hyperlink" Target="mailto:prensa@saviacomunicacion.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66f60f-6d84-4e37-8fad-7e0871ac9541}" enabled="1" method="Privileged" siteId="{8bc97f9a-ea86-472e-8ab7-19db58c4c8af}"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1307</Words>
  <Characters>7193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Miguens</dc:creator>
  <cp:keywords/>
  <dc:description/>
  <cp:lastModifiedBy>Microsoft Office User</cp:lastModifiedBy>
  <cp:revision>3</cp:revision>
  <dcterms:created xsi:type="dcterms:W3CDTF">2026-07-30T20:34:00Z</dcterms:created>
  <dcterms:modified xsi:type="dcterms:W3CDTF">2026-07-30T20:35:00Z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6dd28598,591ab0de,6cbc8eca</vt:lpwstr>
  </property>
  <property fmtid="{D5CDD505-2E9C-101B-9397-08002B2CF9AE}" pid="3" name="ClassificationContentMarkingFooterFontProps">
    <vt:lpwstr>#000000,10,Aptos</vt:lpwstr>
  </property>
  <property fmtid="{D5CDD505-2E9C-101B-9397-08002B2CF9AE}" pid="4" name="ClassificationContentMarkingFooterText">
    <vt:lpwstr>Public</vt:lpwstr>
  </property>
</Properties>
</file>