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D62E0" w14:textId="59C33988" w:rsidR="00F21672" w:rsidRPr="00F21672" w:rsidRDefault="00F21672" w:rsidP="00F21672">
      <w:pPr>
        <w:pStyle w:val="Ttulo1"/>
        <w:rPr>
          <w:rFonts w:ascii="Noto Sans Light" w:hAnsi="Noto Sans Light" w:cs="Noto Sans Light"/>
          <w:b/>
          <w:bCs/>
          <w:color w:val="000000" w:themeColor="text1"/>
          <w:sz w:val="32"/>
          <w:szCs w:val="32"/>
        </w:rPr>
      </w:pPr>
      <w:r w:rsidRPr="00F21672">
        <w:rPr>
          <w:rFonts w:ascii="Noto Sans Light" w:hAnsi="Noto Sans Light" w:cs="Noto Sans Light"/>
          <w:b/>
          <w:bCs/>
          <w:color w:val="000000" w:themeColor="text1"/>
          <w:sz w:val="32"/>
          <w:szCs w:val="32"/>
        </w:rPr>
        <w:t>Cambio climático: UPL sostiene dos programas que ya muestran resultados en los campos argentinos</w:t>
      </w:r>
    </w:p>
    <w:p w14:paraId="5606F255" w14:textId="673C23FB" w:rsidR="00F21672" w:rsidRPr="00F21672" w:rsidRDefault="00F21672" w:rsidP="00F21672">
      <w:pPr>
        <w:pStyle w:val="NormalWeb"/>
        <w:rPr>
          <w:rFonts w:ascii="Noto Sans Light" w:hAnsi="Noto Sans Light" w:cs="Noto Sans Light"/>
          <w:i/>
          <w:iCs/>
          <w:color w:val="000000" w:themeColor="text1"/>
          <w:sz w:val="22"/>
          <w:szCs w:val="22"/>
        </w:rPr>
      </w:pPr>
      <w:r w:rsidRPr="00F21672">
        <w:rPr>
          <w:rStyle w:val="Textoennegrita"/>
          <w:rFonts w:ascii="Noto Sans Light" w:eastAsiaTheme="majorEastAsia" w:hAnsi="Noto Sans Light" w:cs="Noto Sans Light"/>
          <w:b w:val="0"/>
          <w:bCs w:val="0"/>
          <w:i/>
          <w:iCs/>
          <w:color w:val="000000" w:themeColor="text1"/>
          <w:sz w:val="22"/>
          <w:szCs w:val="22"/>
        </w:rPr>
        <w:t>En el Día Internacional contra el Cambio Climático</w:t>
      </w:r>
      <w:r w:rsidR="00401255">
        <w:rPr>
          <w:rStyle w:val="Textoennegrita"/>
          <w:rFonts w:ascii="Noto Sans Light" w:eastAsiaTheme="majorEastAsia" w:hAnsi="Noto Sans Light" w:cs="Noto Sans Light"/>
          <w:b w:val="0"/>
          <w:bCs w:val="0"/>
          <w:i/>
          <w:iCs/>
          <w:color w:val="000000" w:themeColor="text1"/>
          <w:sz w:val="22"/>
          <w:szCs w:val="22"/>
        </w:rPr>
        <w:t xml:space="preserve"> -24 de octubre-</w:t>
      </w:r>
      <w:r w:rsidRPr="00F21672">
        <w:rPr>
          <w:rStyle w:val="Textoennegrita"/>
          <w:rFonts w:ascii="Noto Sans Light" w:eastAsiaTheme="majorEastAsia" w:hAnsi="Noto Sans Light" w:cs="Noto Sans Light"/>
          <w:b w:val="0"/>
          <w:bCs w:val="0"/>
          <w:i/>
          <w:iCs/>
          <w:color w:val="000000" w:themeColor="text1"/>
          <w:sz w:val="22"/>
          <w:szCs w:val="22"/>
        </w:rPr>
        <w:t xml:space="preserve">, la compañía destaca dos iniciativas que acompañan a productores agrícolas y ganaderos en la adopción de prácticas sustentables. Una ya permitió </w:t>
      </w:r>
      <w:r w:rsidR="005767CC">
        <w:rPr>
          <w:rStyle w:val="Textoennegrita"/>
          <w:rFonts w:ascii="Noto Sans Light" w:eastAsiaTheme="majorEastAsia" w:hAnsi="Noto Sans Light" w:cs="Noto Sans Light"/>
          <w:b w:val="0"/>
          <w:bCs w:val="0"/>
          <w:i/>
          <w:iCs/>
          <w:color w:val="000000" w:themeColor="text1"/>
          <w:sz w:val="22"/>
          <w:szCs w:val="22"/>
        </w:rPr>
        <w:t xml:space="preserve">registrar </w:t>
      </w:r>
      <w:r w:rsidRPr="00F21672">
        <w:rPr>
          <w:rStyle w:val="Textoennegrita"/>
          <w:rFonts w:ascii="Noto Sans Light" w:eastAsiaTheme="majorEastAsia" w:hAnsi="Noto Sans Light" w:cs="Noto Sans Light"/>
          <w:b w:val="0"/>
          <w:bCs w:val="0"/>
          <w:i/>
          <w:iCs/>
          <w:color w:val="000000" w:themeColor="text1"/>
          <w:sz w:val="22"/>
          <w:szCs w:val="22"/>
        </w:rPr>
        <w:t xml:space="preserve">111.000 toneladas de CO₂ equivalente secuestradas y mejorar la capacidad de retención de agua de los suelos. La otra lleva </w:t>
      </w:r>
      <w:r w:rsidR="005767CC">
        <w:rPr>
          <w:rStyle w:val="Textoennegrita"/>
          <w:rFonts w:ascii="Noto Sans Light" w:eastAsiaTheme="majorEastAsia" w:hAnsi="Noto Sans Light" w:cs="Noto Sans Light"/>
          <w:b w:val="0"/>
          <w:bCs w:val="0"/>
          <w:i/>
          <w:iCs/>
          <w:color w:val="000000" w:themeColor="text1"/>
          <w:sz w:val="22"/>
          <w:szCs w:val="22"/>
        </w:rPr>
        <w:t>cuatro</w:t>
      </w:r>
      <w:r w:rsidRPr="00F21672">
        <w:rPr>
          <w:rStyle w:val="Textoennegrita"/>
          <w:rFonts w:ascii="Noto Sans Light" w:eastAsiaTheme="majorEastAsia" w:hAnsi="Noto Sans Light" w:cs="Noto Sans Light"/>
          <w:b w:val="0"/>
          <w:bCs w:val="0"/>
          <w:i/>
          <w:iCs/>
          <w:color w:val="000000" w:themeColor="text1"/>
          <w:sz w:val="22"/>
          <w:szCs w:val="22"/>
        </w:rPr>
        <w:t xml:space="preserve"> años monitoreando la evolución de unas 10.000 hectáreas agrícolas.</w:t>
      </w:r>
    </w:p>
    <w:p w14:paraId="638B813E" w14:textId="0634C469" w:rsidR="00F21672" w:rsidRPr="00F21672" w:rsidRDefault="00F21672" w:rsidP="00F21672">
      <w:pPr>
        <w:pStyle w:val="NormalWeb"/>
        <w:rPr>
          <w:rFonts w:ascii="Noto Sans Light" w:hAnsi="Noto Sans Light" w:cs="Noto Sans Light"/>
          <w:color w:val="000000" w:themeColor="text1"/>
          <w:sz w:val="22"/>
          <w:szCs w:val="22"/>
        </w:rPr>
      </w:pPr>
      <w:r w:rsidRPr="00F21672">
        <w:rPr>
          <w:rStyle w:val="Textoennegrita"/>
          <w:rFonts w:ascii="Noto Sans Light" w:eastAsiaTheme="majorEastAsia" w:hAnsi="Noto Sans Light" w:cs="Noto Sans Light"/>
          <w:b w:val="0"/>
          <w:bCs w:val="0"/>
          <w:i/>
          <w:iCs/>
          <w:color w:val="000000" w:themeColor="text1"/>
          <w:sz w:val="22"/>
          <w:szCs w:val="22"/>
        </w:rPr>
        <w:t>Buenos Aires, 2</w:t>
      </w:r>
      <w:r>
        <w:rPr>
          <w:rStyle w:val="Textoennegrita"/>
          <w:rFonts w:ascii="Noto Sans Light" w:eastAsiaTheme="majorEastAsia" w:hAnsi="Noto Sans Light" w:cs="Noto Sans Light"/>
          <w:b w:val="0"/>
          <w:bCs w:val="0"/>
          <w:i/>
          <w:iCs/>
          <w:color w:val="000000" w:themeColor="text1"/>
          <w:sz w:val="22"/>
          <w:szCs w:val="22"/>
        </w:rPr>
        <w:t>3</w:t>
      </w:r>
      <w:r w:rsidRPr="00F21672">
        <w:rPr>
          <w:rStyle w:val="Textoennegrita"/>
          <w:rFonts w:ascii="Noto Sans Light" w:eastAsiaTheme="majorEastAsia" w:hAnsi="Noto Sans Light" w:cs="Noto Sans Light"/>
          <w:b w:val="0"/>
          <w:bCs w:val="0"/>
          <w:i/>
          <w:iCs/>
          <w:color w:val="000000" w:themeColor="text1"/>
          <w:sz w:val="22"/>
          <w:szCs w:val="22"/>
        </w:rPr>
        <w:t xml:space="preserve"> de octubre de 2026.</w:t>
      </w:r>
      <w:r w:rsidRPr="00F21672">
        <w:rPr>
          <w:rFonts w:ascii="Noto Sans Light" w:hAnsi="Noto Sans Light" w:cs="Noto Sans Light"/>
          <w:color w:val="000000" w:themeColor="text1"/>
          <w:sz w:val="22"/>
          <w:szCs w:val="22"/>
        </w:rPr>
        <w:t xml:space="preserve"> Recuperar la salud de los suelos, aumentar su capacidad para almacenar carbono y producir alimentos con un menor impacto ambiental son desafíos que requieren mucho más que buenas intenciones. También hacen falta tiempo, mediciones y productores dispuestos a revisar sus prácticas de manejo.</w:t>
      </w:r>
    </w:p>
    <w:p w14:paraId="79EA039B" w14:textId="77777777"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t>Desde hace cinco años, UPL Corp Argentina impulsa dos programas que trabajan sobre estos objetivos en establecimientos agrícolas y ganaderos del país. Las iniciativas tienen enfoques diferentes, pero comparten algo que no siempre resulta sencillo en los proyectos vinculados con la sustentabilidad: lograron sostenerse en el tiempo, acompañar a los productores y comenzar a mostrar resultados medibles.</w:t>
      </w:r>
    </w:p>
    <w:p w14:paraId="21995A94" w14:textId="233ACC63" w:rsidR="00F21672" w:rsidRDefault="00F21672" w:rsidP="00F21672">
      <w:pPr>
        <w:pStyle w:val="NormalWeb"/>
        <w:rPr>
          <w:rFonts w:ascii="Noto Sans Light" w:hAnsi="Noto Sans Light" w:cs="Noto Sans Light"/>
          <w:color w:val="000000" w:themeColor="text1"/>
          <w:sz w:val="22"/>
          <w:szCs w:val="22"/>
        </w:rPr>
      </w:pPr>
      <w:r>
        <w:rPr>
          <w:rFonts w:ascii="Noto Sans Light" w:hAnsi="Noto Sans Light" w:cs="Noto Sans Light"/>
          <w:color w:val="000000" w:themeColor="text1"/>
          <w:sz w:val="22"/>
          <w:szCs w:val="22"/>
        </w:rPr>
        <w:t xml:space="preserve">Uno de los programas trabaja en ganadería regenerativa y cuenta con </w:t>
      </w:r>
      <w:r w:rsidRPr="00F21672">
        <w:rPr>
          <w:rFonts w:ascii="Noto Sans Light" w:hAnsi="Noto Sans Light" w:cs="Noto Sans Light"/>
          <w:color w:val="000000" w:themeColor="text1"/>
          <w:sz w:val="22"/>
          <w:szCs w:val="22"/>
        </w:rPr>
        <w:t xml:space="preserve">el acompañamiento técnico de </w:t>
      </w:r>
      <w:r>
        <w:rPr>
          <w:rFonts w:ascii="Noto Sans Light" w:hAnsi="Noto Sans Light" w:cs="Noto Sans Light"/>
          <w:color w:val="000000" w:themeColor="text1"/>
          <w:sz w:val="22"/>
          <w:szCs w:val="22"/>
        </w:rPr>
        <w:t xml:space="preserve">la consultora </w:t>
      </w:r>
      <w:r w:rsidRPr="00F21672">
        <w:rPr>
          <w:rFonts w:ascii="Noto Sans Light" w:hAnsi="Noto Sans Light" w:cs="Noto Sans Light"/>
          <w:color w:val="000000" w:themeColor="text1"/>
          <w:sz w:val="22"/>
          <w:szCs w:val="22"/>
        </w:rPr>
        <w:t>Fénix</w:t>
      </w:r>
      <w:r>
        <w:rPr>
          <w:rFonts w:ascii="Noto Sans Light" w:hAnsi="Noto Sans Light" w:cs="Noto Sans Light"/>
          <w:color w:val="000000" w:themeColor="text1"/>
          <w:sz w:val="22"/>
          <w:szCs w:val="22"/>
        </w:rPr>
        <w:t>. El otro se orienta a la agricultura, con foco en el</w:t>
      </w:r>
      <w:r w:rsidRPr="00F21672">
        <w:rPr>
          <w:rFonts w:ascii="Noto Sans Light" w:hAnsi="Noto Sans Light" w:cs="Noto Sans Light"/>
          <w:color w:val="000000" w:themeColor="text1"/>
          <w:sz w:val="22"/>
          <w:szCs w:val="22"/>
        </w:rPr>
        <w:t xml:space="preserve"> manejo sustentable de </w:t>
      </w:r>
      <w:r>
        <w:rPr>
          <w:rFonts w:ascii="Noto Sans Light" w:hAnsi="Noto Sans Light" w:cs="Noto Sans Light"/>
          <w:color w:val="000000" w:themeColor="text1"/>
          <w:sz w:val="22"/>
          <w:szCs w:val="22"/>
        </w:rPr>
        <w:t xml:space="preserve">los </w:t>
      </w:r>
      <w:r w:rsidRPr="00F21672">
        <w:rPr>
          <w:rFonts w:ascii="Noto Sans Light" w:hAnsi="Noto Sans Light" w:cs="Noto Sans Light"/>
          <w:color w:val="000000" w:themeColor="text1"/>
          <w:sz w:val="22"/>
          <w:szCs w:val="22"/>
        </w:rPr>
        <w:t xml:space="preserve">suelos, </w:t>
      </w:r>
      <w:r>
        <w:rPr>
          <w:rFonts w:ascii="Noto Sans Light" w:hAnsi="Noto Sans Light" w:cs="Noto Sans Light"/>
          <w:color w:val="000000" w:themeColor="text1"/>
          <w:sz w:val="22"/>
          <w:szCs w:val="22"/>
        </w:rPr>
        <w:t>y cuenta con el soporte de</w:t>
      </w:r>
      <w:r w:rsidRPr="00F21672">
        <w:rPr>
          <w:rFonts w:ascii="Noto Sans Light" w:hAnsi="Noto Sans Light" w:cs="Noto Sans Light"/>
          <w:color w:val="000000" w:themeColor="text1"/>
          <w:sz w:val="22"/>
          <w:szCs w:val="22"/>
        </w:rPr>
        <w:t xml:space="preserve"> la consultora A</w:t>
      </w:r>
      <w:r>
        <w:rPr>
          <w:rFonts w:ascii="Noto Sans Light" w:hAnsi="Noto Sans Light" w:cs="Noto Sans Light"/>
          <w:color w:val="000000" w:themeColor="text1"/>
          <w:sz w:val="22"/>
          <w:szCs w:val="22"/>
        </w:rPr>
        <w:t xml:space="preserve">gsus. Ambos se enmarcan en </w:t>
      </w:r>
      <w:proofErr w:type="spellStart"/>
      <w:r w:rsidRPr="00F21672">
        <w:rPr>
          <w:rFonts w:ascii="Noto Sans Light" w:hAnsi="Noto Sans Light" w:cs="Noto Sans Light"/>
          <w:color w:val="000000" w:themeColor="text1"/>
          <w:sz w:val="22"/>
          <w:szCs w:val="22"/>
        </w:rPr>
        <w:t>Gigaton</w:t>
      </w:r>
      <w:proofErr w:type="spellEnd"/>
      <w:r w:rsidRPr="00F21672">
        <w:rPr>
          <w:rFonts w:ascii="Noto Sans Light" w:hAnsi="Noto Sans Light" w:cs="Noto Sans Light"/>
          <w:color w:val="000000" w:themeColor="text1"/>
          <w:sz w:val="22"/>
          <w:szCs w:val="22"/>
        </w:rPr>
        <w:t xml:space="preserve"> </w:t>
      </w:r>
      <w:proofErr w:type="spellStart"/>
      <w:r w:rsidRPr="00F21672">
        <w:rPr>
          <w:rFonts w:ascii="Noto Sans Light" w:hAnsi="Noto Sans Light" w:cs="Noto Sans Light"/>
          <w:color w:val="000000" w:themeColor="text1"/>
          <w:sz w:val="22"/>
          <w:szCs w:val="22"/>
        </w:rPr>
        <w:t>Carbon</w:t>
      </w:r>
      <w:proofErr w:type="spellEnd"/>
      <w:r w:rsidRPr="00F21672">
        <w:rPr>
          <w:rFonts w:ascii="Noto Sans Light" w:hAnsi="Noto Sans Light" w:cs="Noto Sans Light"/>
          <w:color w:val="000000" w:themeColor="text1"/>
          <w:sz w:val="22"/>
          <w:szCs w:val="22"/>
        </w:rPr>
        <w:t xml:space="preserve"> </w:t>
      </w:r>
      <w:proofErr w:type="spellStart"/>
      <w:r w:rsidRPr="00F21672">
        <w:rPr>
          <w:rFonts w:ascii="Noto Sans Light" w:hAnsi="Noto Sans Light" w:cs="Noto Sans Light"/>
          <w:color w:val="000000" w:themeColor="text1"/>
          <w:sz w:val="22"/>
          <w:szCs w:val="22"/>
        </w:rPr>
        <w:t>Goal</w:t>
      </w:r>
      <w:proofErr w:type="spellEnd"/>
      <w:r w:rsidRPr="00F21672">
        <w:rPr>
          <w:rFonts w:ascii="Noto Sans Light" w:hAnsi="Noto Sans Light" w:cs="Noto Sans Light"/>
          <w:color w:val="000000" w:themeColor="text1"/>
          <w:sz w:val="22"/>
          <w:szCs w:val="22"/>
        </w:rPr>
        <w:t xml:space="preserve">, </w:t>
      </w:r>
      <w:r w:rsidR="005767CC">
        <w:rPr>
          <w:rFonts w:ascii="Noto Sans Light" w:hAnsi="Noto Sans Light" w:cs="Noto Sans Light"/>
          <w:color w:val="000000" w:themeColor="text1"/>
          <w:sz w:val="22"/>
          <w:szCs w:val="22"/>
        </w:rPr>
        <w:t xml:space="preserve"> una iniciativa global de UPL que busca </w:t>
      </w:r>
      <w:r w:rsidR="005767CC">
        <w:rPr>
          <w:rFonts w:ascii="Noto Sans Light" w:hAnsi="Noto Sans Light" w:cs="Noto Sans Light"/>
          <w:color w:val="000000" w:themeColor="text1"/>
          <w:sz w:val="22"/>
          <w:szCs w:val="22"/>
          <w:lang w:val="es-MX"/>
        </w:rPr>
        <w:t>r</w:t>
      </w:r>
      <w:r w:rsidR="005767CC" w:rsidRPr="005767CC">
        <w:rPr>
          <w:rFonts w:ascii="Noto Sans Light" w:hAnsi="Noto Sans Light" w:cs="Noto Sans Light"/>
          <w:color w:val="000000" w:themeColor="text1"/>
          <w:sz w:val="22"/>
          <w:szCs w:val="22"/>
          <w:lang w:val="es-MX"/>
        </w:rPr>
        <w:t xml:space="preserve">educir las emisiones de CO2 y equivalentes en 1 GT para </w:t>
      </w:r>
      <w:r w:rsidR="005767CC" w:rsidRPr="00894772">
        <w:rPr>
          <w:rFonts w:ascii="Noto Sans Light" w:hAnsi="Noto Sans Light" w:cs="Noto Sans Light"/>
          <w:color w:val="000000" w:themeColor="text1"/>
          <w:sz w:val="22"/>
          <w:szCs w:val="22"/>
        </w:rPr>
        <w:t>2040</w:t>
      </w:r>
      <w:r w:rsidR="00A7253C">
        <w:rPr>
          <w:rFonts w:ascii="Noto Sans Light" w:hAnsi="Noto Sans Light" w:cs="Noto Sans Light"/>
          <w:color w:val="000000" w:themeColor="text1"/>
          <w:sz w:val="22"/>
          <w:szCs w:val="22"/>
        </w:rPr>
        <w:t>. P</w:t>
      </w:r>
      <w:r w:rsidR="005767CC">
        <w:rPr>
          <w:rFonts w:ascii="Noto Sans Light" w:hAnsi="Noto Sans Light" w:cs="Noto Sans Light"/>
          <w:color w:val="000000" w:themeColor="text1"/>
          <w:sz w:val="22"/>
          <w:szCs w:val="22"/>
        </w:rPr>
        <w:t>ara ello busca fa</w:t>
      </w:r>
      <w:r w:rsidR="005767CC">
        <w:rPr>
          <w:rFonts w:ascii="Noto Sans Light" w:hAnsi="Noto Sans Light" w:cs="Noto Sans Light"/>
          <w:color w:val="000000" w:themeColor="text1"/>
          <w:sz w:val="22"/>
          <w:szCs w:val="22"/>
          <w:lang w:val="es-MX"/>
        </w:rPr>
        <w:t>cilitar</w:t>
      </w:r>
      <w:r w:rsidR="005767CC" w:rsidRPr="005767CC">
        <w:rPr>
          <w:rFonts w:ascii="Noto Sans Light" w:hAnsi="Noto Sans Light" w:cs="Noto Sans Light"/>
          <w:color w:val="000000" w:themeColor="text1"/>
          <w:sz w:val="22"/>
          <w:szCs w:val="22"/>
          <w:lang w:val="es-MX"/>
        </w:rPr>
        <w:t xml:space="preserve"> ecosistemas </w:t>
      </w:r>
      <w:r w:rsidR="005767CC">
        <w:rPr>
          <w:rFonts w:ascii="Noto Sans Light" w:hAnsi="Noto Sans Light" w:cs="Noto Sans Light"/>
          <w:color w:val="000000" w:themeColor="text1"/>
          <w:sz w:val="22"/>
          <w:szCs w:val="22"/>
          <w:lang w:val="es-MX"/>
        </w:rPr>
        <w:t xml:space="preserve">que </w:t>
      </w:r>
      <w:r w:rsidR="005767CC" w:rsidRPr="005767CC">
        <w:rPr>
          <w:rFonts w:ascii="Noto Sans Light" w:hAnsi="Noto Sans Light" w:cs="Noto Sans Light"/>
          <w:color w:val="000000" w:themeColor="text1"/>
          <w:sz w:val="22"/>
          <w:szCs w:val="22"/>
          <w:lang w:val="es-MX"/>
        </w:rPr>
        <w:t>apoyen a los agricultores en los programas de secuestro de carbono</w:t>
      </w:r>
      <w:r w:rsidR="00A7253C">
        <w:rPr>
          <w:rFonts w:ascii="Noto Sans Light" w:hAnsi="Noto Sans Light" w:cs="Noto Sans Light"/>
          <w:color w:val="000000" w:themeColor="text1"/>
          <w:sz w:val="22"/>
          <w:szCs w:val="22"/>
          <w:lang w:val="es-MX"/>
        </w:rPr>
        <w:t xml:space="preserve">, además de </w:t>
      </w:r>
      <w:r w:rsidR="005767CC">
        <w:rPr>
          <w:rFonts w:ascii="Noto Sans Light" w:hAnsi="Noto Sans Light" w:cs="Noto Sans Light"/>
          <w:color w:val="000000" w:themeColor="text1"/>
          <w:sz w:val="22"/>
          <w:szCs w:val="22"/>
          <w:lang w:val="es-MX"/>
        </w:rPr>
        <w:t>r</w:t>
      </w:r>
      <w:r w:rsidR="005767CC" w:rsidRPr="005767CC">
        <w:rPr>
          <w:rFonts w:ascii="Noto Sans Light" w:hAnsi="Noto Sans Light" w:cs="Noto Sans Light"/>
          <w:color w:val="000000" w:themeColor="text1"/>
          <w:sz w:val="22"/>
          <w:szCs w:val="22"/>
          <w:lang w:val="es-MX"/>
        </w:rPr>
        <w:t>educir las emisiones de UPL y de los socios de la cadena de suministr</w:t>
      </w:r>
      <w:r w:rsidR="005767CC">
        <w:rPr>
          <w:rFonts w:ascii="Noto Sans Light" w:hAnsi="Noto Sans Light" w:cs="Noto Sans Light"/>
          <w:color w:val="000000" w:themeColor="text1"/>
          <w:sz w:val="22"/>
          <w:szCs w:val="22"/>
          <w:lang w:val="es-MX"/>
        </w:rPr>
        <w:t>o</w:t>
      </w:r>
      <w:r w:rsidR="00A7253C">
        <w:rPr>
          <w:rFonts w:ascii="Noto Sans Light" w:hAnsi="Noto Sans Light" w:cs="Noto Sans Light"/>
          <w:color w:val="000000" w:themeColor="text1"/>
          <w:sz w:val="22"/>
          <w:szCs w:val="22"/>
          <w:lang w:val="es-MX"/>
        </w:rPr>
        <w:t>.</w:t>
      </w:r>
    </w:p>
    <w:p w14:paraId="1A7C3A5C" w14:textId="600BA94F" w:rsidR="00F21672" w:rsidRPr="00F21672" w:rsidRDefault="00F21672" w:rsidP="00F21672">
      <w:pPr>
        <w:pStyle w:val="Ttulo3"/>
        <w:rPr>
          <w:rFonts w:ascii="Noto Sans Light" w:hAnsi="Noto Sans Light" w:cs="Noto Sans Light"/>
          <w:b/>
          <w:bCs/>
          <w:color w:val="000000" w:themeColor="text1"/>
          <w:sz w:val="22"/>
          <w:szCs w:val="22"/>
        </w:rPr>
      </w:pPr>
      <w:r w:rsidRPr="00F21672">
        <w:rPr>
          <w:rFonts w:ascii="Noto Sans Light" w:hAnsi="Noto Sans Light" w:cs="Noto Sans Light"/>
          <w:b/>
          <w:bCs/>
          <w:color w:val="000000" w:themeColor="text1"/>
          <w:sz w:val="22"/>
          <w:szCs w:val="22"/>
        </w:rPr>
        <w:t xml:space="preserve">Ganadería regenerativa: más carbono en el suelo </w:t>
      </w:r>
    </w:p>
    <w:p w14:paraId="2A7240A7" w14:textId="21BFC417" w:rsidR="00F21672" w:rsidRPr="00F21672" w:rsidRDefault="00401255" w:rsidP="00F21672">
      <w:pPr>
        <w:pStyle w:val="NormalWeb"/>
        <w:rPr>
          <w:rFonts w:ascii="Noto Sans Light" w:hAnsi="Noto Sans Light" w:cs="Noto Sans Light"/>
          <w:color w:val="000000" w:themeColor="text1"/>
          <w:sz w:val="22"/>
          <w:szCs w:val="22"/>
        </w:rPr>
      </w:pPr>
      <w:r>
        <w:rPr>
          <w:rFonts w:ascii="Noto Sans Light" w:hAnsi="Noto Sans Light" w:cs="Noto Sans Light"/>
          <w:color w:val="000000" w:themeColor="text1"/>
          <w:sz w:val="22"/>
          <w:szCs w:val="22"/>
        </w:rPr>
        <w:t xml:space="preserve">El proyecto comenzó en </w:t>
      </w:r>
      <w:r w:rsidR="00F21672" w:rsidRPr="00F21672">
        <w:rPr>
          <w:rFonts w:ascii="Noto Sans Light" w:hAnsi="Noto Sans Light" w:cs="Noto Sans Light"/>
          <w:color w:val="000000" w:themeColor="text1"/>
          <w:sz w:val="22"/>
          <w:szCs w:val="22"/>
        </w:rPr>
        <w:t>2021</w:t>
      </w:r>
      <w:r>
        <w:rPr>
          <w:rFonts w:ascii="Noto Sans Light" w:hAnsi="Noto Sans Light" w:cs="Noto Sans Light"/>
          <w:color w:val="000000" w:themeColor="text1"/>
          <w:sz w:val="22"/>
          <w:szCs w:val="22"/>
        </w:rPr>
        <w:t xml:space="preserve"> con el objetivo de</w:t>
      </w:r>
      <w:r w:rsidR="00F21672" w:rsidRPr="00F21672">
        <w:rPr>
          <w:rFonts w:ascii="Noto Sans Light" w:hAnsi="Noto Sans Light" w:cs="Noto Sans Light"/>
          <w:color w:val="000000" w:themeColor="text1"/>
          <w:sz w:val="22"/>
          <w:szCs w:val="22"/>
        </w:rPr>
        <w:t xml:space="preserve"> contribuir a la reducción del dióxido de carbono atmosférico y otros gases de efecto invernadero.</w:t>
      </w:r>
      <w:r>
        <w:rPr>
          <w:rFonts w:ascii="Noto Sans Light" w:hAnsi="Noto Sans Light" w:cs="Noto Sans Light"/>
          <w:color w:val="000000" w:themeColor="text1"/>
          <w:sz w:val="22"/>
          <w:szCs w:val="22"/>
        </w:rPr>
        <w:t xml:space="preserve"> </w:t>
      </w:r>
      <w:r w:rsidR="00F21672" w:rsidRPr="00F21672">
        <w:rPr>
          <w:rFonts w:ascii="Noto Sans Light" w:hAnsi="Noto Sans Light" w:cs="Noto Sans Light"/>
          <w:color w:val="000000" w:themeColor="text1"/>
          <w:sz w:val="22"/>
          <w:szCs w:val="22"/>
        </w:rPr>
        <w:t>En Argentina, el proyecto ya alcanzó un resultado significativo: cinco productores ganaderos lograron</w:t>
      </w:r>
      <w:r w:rsidR="005767CC">
        <w:rPr>
          <w:rFonts w:ascii="Noto Sans Light" w:hAnsi="Noto Sans Light" w:cs="Noto Sans Light"/>
          <w:color w:val="000000" w:themeColor="text1"/>
          <w:sz w:val="22"/>
          <w:szCs w:val="22"/>
        </w:rPr>
        <w:t xml:space="preserve"> registrar</w:t>
      </w:r>
      <w:r w:rsidR="00F21672" w:rsidRPr="00F21672">
        <w:rPr>
          <w:rFonts w:ascii="Noto Sans Light" w:hAnsi="Noto Sans Light" w:cs="Noto Sans Light"/>
          <w:color w:val="000000" w:themeColor="text1"/>
          <w:sz w:val="22"/>
          <w:szCs w:val="22"/>
        </w:rPr>
        <w:t xml:space="preserve"> el secuestro de 111.000 toneladas de CO₂ equivalente en una superficie de 8.673 hectáreas.</w:t>
      </w:r>
    </w:p>
    <w:p w14:paraId="7C2700A9" w14:textId="77777777"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t xml:space="preserve">La cifra equivale a las emisiones anuales promedio de unas 28.000 personas. Pero el trabajo permitió verificar otro beneficio relevante frente al cambio climático: </w:t>
      </w:r>
      <w:r w:rsidRPr="00F21672">
        <w:rPr>
          <w:rStyle w:val="Textoennegrita"/>
          <w:rFonts w:ascii="Noto Sans Light" w:eastAsiaTheme="majorEastAsia" w:hAnsi="Noto Sans Light" w:cs="Noto Sans Light"/>
          <w:b w:val="0"/>
          <w:bCs w:val="0"/>
          <w:color w:val="000000" w:themeColor="text1"/>
          <w:sz w:val="22"/>
          <w:szCs w:val="22"/>
        </w:rPr>
        <w:t>un aumento de 537 millones de litros en la capacidad de retención de agua de los suelos</w:t>
      </w:r>
      <w:r w:rsidRPr="00F21672">
        <w:rPr>
          <w:rFonts w:ascii="Noto Sans Light" w:hAnsi="Noto Sans Light" w:cs="Noto Sans Light"/>
          <w:color w:val="000000" w:themeColor="text1"/>
          <w:sz w:val="22"/>
          <w:szCs w:val="22"/>
        </w:rPr>
        <w:t>, equivalente al consumo anual de agua de 1.076 hogares argentinos, según los datos del programa.</w:t>
      </w:r>
    </w:p>
    <w:p w14:paraId="6BA5417C" w14:textId="1DA0686C"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lastRenderedPageBreak/>
        <w:t xml:space="preserve">El proyecto fue desarrollado por UPL y certificado por el Savory </w:t>
      </w:r>
      <w:proofErr w:type="spellStart"/>
      <w:r w:rsidRPr="00F21672">
        <w:rPr>
          <w:rFonts w:ascii="Noto Sans Light" w:hAnsi="Noto Sans Light" w:cs="Noto Sans Light"/>
          <w:color w:val="000000" w:themeColor="text1"/>
          <w:sz w:val="22"/>
          <w:szCs w:val="22"/>
        </w:rPr>
        <w:t>Institute</w:t>
      </w:r>
      <w:proofErr w:type="spellEnd"/>
      <w:r w:rsidRPr="00F21672">
        <w:rPr>
          <w:rFonts w:ascii="Noto Sans Light" w:hAnsi="Noto Sans Light" w:cs="Noto Sans Light"/>
          <w:color w:val="000000" w:themeColor="text1"/>
          <w:sz w:val="22"/>
          <w:szCs w:val="22"/>
        </w:rPr>
        <w:t>, mediante su protocolo de Verificación de Resultados Ecológicos. Los productores c</w:t>
      </w:r>
      <w:r w:rsidR="00401255">
        <w:rPr>
          <w:rFonts w:ascii="Noto Sans Light" w:hAnsi="Noto Sans Light" w:cs="Noto Sans Light"/>
          <w:color w:val="000000" w:themeColor="text1"/>
          <w:sz w:val="22"/>
          <w:szCs w:val="22"/>
        </w:rPr>
        <w:t>uentan</w:t>
      </w:r>
      <w:r w:rsidRPr="00F21672">
        <w:rPr>
          <w:rFonts w:ascii="Noto Sans Light" w:hAnsi="Noto Sans Light" w:cs="Noto Sans Light"/>
          <w:color w:val="000000" w:themeColor="text1"/>
          <w:sz w:val="22"/>
          <w:szCs w:val="22"/>
        </w:rPr>
        <w:t xml:space="preserve"> con el acompañamiento técnico de Fénix, una empresa especializada en ganadería regenerativa</w:t>
      </w:r>
      <w:r w:rsidR="00030F1A">
        <w:rPr>
          <w:rFonts w:ascii="Noto Sans Light" w:hAnsi="Noto Sans Light" w:cs="Noto Sans Light"/>
          <w:color w:val="000000" w:themeColor="text1"/>
          <w:sz w:val="22"/>
          <w:szCs w:val="22"/>
        </w:rPr>
        <w:t xml:space="preserve"> que los guía en</w:t>
      </w:r>
      <w:r w:rsidRPr="00F21672">
        <w:rPr>
          <w:rFonts w:ascii="Noto Sans Light" w:hAnsi="Noto Sans Light" w:cs="Noto Sans Light"/>
          <w:color w:val="000000" w:themeColor="text1"/>
          <w:sz w:val="22"/>
          <w:szCs w:val="22"/>
        </w:rPr>
        <w:t xml:space="preserve"> incorporar prácticas como el pastoreo planificado, las rotaciones adaptativas, el manejo de las cargas animales, los períodos de descanso y la diversificación de pasturas.</w:t>
      </w:r>
    </w:p>
    <w:p w14:paraId="3DCE27E9" w14:textId="77777777"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t>Además de los beneficios ambientales, los establecimientos participantes reportaron mejoras en la calidad del forraje, el desempeño de los animales y una menor dependencia de insumos externos.</w:t>
      </w:r>
    </w:p>
    <w:p w14:paraId="28DDE4D8" w14:textId="77777777"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t xml:space="preserve">“Estos son los primeros cinco productores de un grupo más amplio que continúa trabajando con nosotros en este ambicioso proyecto. Con todos ellos estamos aprendiendo, analizando y midiendo, porque es la forma de reinventar la sostenibilidad”, señaló </w:t>
      </w:r>
      <w:r w:rsidRPr="00F21672">
        <w:rPr>
          <w:rStyle w:val="Textoennegrita"/>
          <w:rFonts w:ascii="Noto Sans Light" w:eastAsiaTheme="majorEastAsia" w:hAnsi="Noto Sans Light" w:cs="Noto Sans Light"/>
          <w:b w:val="0"/>
          <w:bCs w:val="0"/>
          <w:color w:val="000000" w:themeColor="text1"/>
          <w:sz w:val="22"/>
          <w:szCs w:val="22"/>
        </w:rPr>
        <w:t>Jorge Molfino, gerente general de UPL Argentina</w:t>
      </w:r>
      <w:r w:rsidRPr="00F21672">
        <w:rPr>
          <w:rFonts w:ascii="Noto Sans Light" w:hAnsi="Noto Sans Light" w:cs="Noto Sans Light"/>
          <w:color w:val="000000" w:themeColor="text1"/>
          <w:sz w:val="22"/>
          <w:szCs w:val="22"/>
        </w:rPr>
        <w:t>, al presentar los primeros resultados del programa.</w:t>
      </w:r>
    </w:p>
    <w:p w14:paraId="1334B09E" w14:textId="77777777" w:rsidR="00F21672" w:rsidRPr="00F21672" w:rsidRDefault="00F21672" w:rsidP="00F21672">
      <w:pPr>
        <w:pStyle w:val="Ttulo3"/>
        <w:rPr>
          <w:rFonts w:ascii="Noto Sans Light" w:hAnsi="Noto Sans Light" w:cs="Noto Sans Light"/>
          <w:b/>
          <w:bCs/>
          <w:color w:val="000000" w:themeColor="text1"/>
          <w:sz w:val="22"/>
          <w:szCs w:val="22"/>
        </w:rPr>
      </w:pPr>
      <w:r w:rsidRPr="00F21672">
        <w:rPr>
          <w:rFonts w:ascii="Noto Sans Light" w:hAnsi="Noto Sans Light" w:cs="Noto Sans Light"/>
          <w:b/>
          <w:bCs/>
          <w:color w:val="000000" w:themeColor="text1"/>
          <w:sz w:val="22"/>
          <w:szCs w:val="22"/>
        </w:rPr>
        <w:t>Cinco años siguiendo la recuperación de los suelos agrícolas</w:t>
      </w:r>
    </w:p>
    <w:p w14:paraId="6768507F" w14:textId="05FDFB1E"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t xml:space="preserve">En </w:t>
      </w:r>
      <w:r w:rsidR="00401255">
        <w:rPr>
          <w:rFonts w:ascii="Noto Sans Light" w:hAnsi="Noto Sans Light" w:cs="Noto Sans Light"/>
          <w:color w:val="000000" w:themeColor="text1"/>
          <w:sz w:val="22"/>
          <w:szCs w:val="22"/>
        </w:rPr>
        <w:t xml:space="preserve">paralelo, y también en </w:t>
      </w:r>
      <w:r w:rsidRPr="00F21672">
        <w:rPr>
          <w:rFonts w:ascii="Noto Sans Light" w:hAnsi="Noto Sans Light" w:cs="Noto Sans Light"/>
          <w:color w:val="000000" w:themeColor="text1"/>
          <w:sz w:val="22"/>
          <w:szCs w:val="22"/>
        </w:rPr>
        <w:t>2021, UPL convocó a A</w:t>
      </w:r>
      <w:r>
        <w:rPr>
          <w:rFonts w:ascii="Noto Sans Light" w:hAnsi="Noto Sans Light" w:cs="Noto Sans Light"/>
          <w:color w:val="000000" w:themeColor="text1"/>
          <w:sz w:val="22"/>
          <w:szCs w:val="22"/>
        </w:rPr>
        <w:t>gsus</w:t>
      </w:r>
      <w:r w:rsidRPr="00F21672">
        <w:rPr>
          <w:rFonts w:ascii="Noto Sans Light" w:hAnsi="Noto Sans Light" w:cs="Noto Sans Light"/>
          <w:color w:val="000000" w:themeColor="text1"/>
          <w:sz w:val="22"/>
          <w:szCs w:val="22"/>
        </w:rPr>
        <w:t>, una consultora surgida de un grupo de investigación de la Facultad de Agronomía de La Pampa, para desarrollar un proyecto de secuestro de carbono adaptado a las condiciones productivas argentinas.</w:t>
      </w:r>
    </w:p>
    <w:p w14:paraId="27E513B2" w14:textId="7575E90A" w:rsidR="00F21672" w:rsidRPr="00F21672" w:rsidRDefault="005767CC" w:rsidP="00F21672">
      <w:pPr>
        <w:pStyle w:val="NormalWeb"/>
        <w:rPr>
          <w:rFonts w:ascii="Noto Sans Light" w:hAnsi="Noto Sans Light" w:cs="Noto Sans Light"/>
          <w:color w:val="000000" w:themeColor="text1"/>
          <w:sz w:val="22"/>
          <w:szCs w:val="22"/>
        </w:rPr>
      </w:pPr>
      <w:r>
        <w:rPr>
          <w:rFonts w:ascii="Noto Sans Light" w:hAnsi="Noto Sans Light" w:cs="Noto Sans Light"/>
          <w:color w:val="000000" w:themeColor="text1"/>
          <w:sz w:val="22"/>
          <w:szCs w:val="22"/>
        </w:rPr>
        <w:t>La iniciativa acompaña la medición en 11 establecimientos</w:t>
      </w:r>
      <w:r w:rsidR="00BF1444">
        <w:rPr>
          <w:rFonts w:ascii="Noto Sans Light" w:hAnsi="Noto Sans Light" w:cs="Noto Sans Light"/>
          <w:color w:val="000000" w:themeColor="text1"/>
          <w:sz w:val="22"/>
          <w:szCs w:val="22"/>
        </w:rPr>
        <w:t>,</w:t>
      </w:r>
      <w:r>
        <w:rPr>
          <w:rFonts w:ascii="Noto Sans Light" w:hAnsi="Noto Sans Light" w:cs="Noto Sans Light"/>
          <w:color w:val="000000" w:themeColor="text1"/>
          <w:sz w:val="22"/>
          <w:szCs w:val="22"/>
        </w:rPr>
        <w:t xml:space="preserve"> donde participan 10 productores</w:t>
      </w:r>
      <w:r w:rsidR="00BF1444">
        <w:rPr>
          <w:rFonts w:ascii="Noto Sans Light" w:hAnsi="Noto Sans Light" w:cs="Noto Sans Light"/>
          <w:color w:val="000000" w:themeColor="text1"/>
          <w:sz w:val="22"/>
          <w:szCs w:val="22"/>
        </w:rPr>
        <w:t xml:space="preserve"> </w:t>
      </w:r>
      <w:r>
        <w:rPr>
          <w:rFonts w:ascii="Noto Sans Light" w:hAnsi="Noto Sans Light" w:cs="Noto Sans Light"/>
          <w:color w:val="000000" w:themeColor="text1"/>
          <w:sz w:val="22"/>
          <w:szCs w:val="22"/>
        </w:rPr>
        <w:t xml:space="preserve">que reúnen más de 10.000 hectáreas bajo seguimiento. </w:t>
      </w:r>
    </w:p>
    <w:p w14:paraId="33349F4E" w14:textId="77777777" w:rsidR="00BF1444" w:rsidRDefault="006815CE" w:rsidP="00F21672">
      <w:pPr>
        <w:pStyle w:val="NormalWeb"/>
        <w:rPr>
          <w:rFonts w:ascii="Noto Sans Light" w:hAnsi="Noto Sans Light" w:cs="Noto Sans Light"/>
          <w:color w:val="000000" w:themeColor="text1"/>
          <w:sz w:val="22"/>
          <w:szCs w:val="22"/>
        </w:rPr>
      </w:pPr>
      <w:r w:rsidRPr="006815CE">
        <w:rPr>
          <w:rFonts w:ascii="Noto Sans Light" w:hAnsi="Noto Sans Light" w:cs="Noto Sans Light"/>
          <w:color w:val="000000" w:themeColor="text1"/>
          <w:sz w:val="22"/>
          <w:szCs w:val="22"/>
        </w:rPr>
        <w:t>Comenz</w:t>
      </w:r>
      <w:r w:rsidR="00A7253C">
        <w:rPr>
          <w:rFonts w:ascii="Noto Sans Light" w:hAnsi="Noto Sans Light" w:cs="Noto Sans Light"/>
          <w:color w:val="000000" w:themeColor="text1"/>
          <w:sz w:val="22"/>
          <w:szCs w:val="22"/>
        </w:rPr>
        <w:t>ó</w:t>
      </w:r>
      <w:r w:rsidRPr="006815CE">
        <w:rPr>
          <w:rFonts w:ascii="Noto Sans Light" w:hAnsi="Noto Sans Light" w:cs="Noto Sans Light"/>
          <w:color w:val="000000" w:themeColor="text1"/>
          <w:sz w:val="22"/>
          <w:szCs w:val="22"/>
        </w:rPr>
        <w:t xml:space="preserve"> con una línea de base, que incluye la definición de puntos de monitoreo y el análisis inicial de muestras de suelo. Luego, mediante evaluaciones anuales, se monitorea la evolución de la salud del suelo y el impacto de las prácticas de manejo implementadas, lo que permite otorgar </w:t>
      </w:r>
      <w:r w:rsidR="00E75FF4">
        <w:rPr>
          <w:rFonts w:ascii="Noto Sans Light" w:hAnsi="Noto Sans Light" w:cs="Noto Sans Light"/>
          <w:color w:val="000000" w:themeColor="text1"/>
          <w:sz w:val="22"/>
          <w:szCs w:val="22"/>
        </w:rPr>
        <w:t xml:space="preserve">informes técnicos y </w:t>
      </w:r>
      <w:r w:rsidRPr="006815CE">
        <w:rPr>
          <w:rFonts w:ascii="Noto Sans Light" w:hAnsi="Noto Sans Light" w:cs="Noto Sans Light"/>
          <w:color w:val="000000" w:themeColor="text1"/>
          <w:sz w:val="22"/>
          <w:szCs w:val="22"/>
        </w:rPr>
        <w:t>certifica</w:t>
      </w:r>
      <w:r w:rsidR="00E75FF4">
        <w:rPr>
          <w:rFonts w:ascii="Noto Sans Light" w:hAnsi="Noto Sans Light" w:cs="Noto Sans Light"/>
          <w:color w:val="000000" w:themeColor="text1"/>
          <w:sz w:val="22"/>
          <w:szCs w:val="22"/>
        </w:rPr>
        <w:t>dos</w:t>
      </w:r>
      <w:r w:rsidRPr="006815CE">
        <w:rPr>
          <w:rFonts w:ascii="Noto Sans Light" w:hAnsi="Noto Sans Light" w:cs="Noto Sans Light"/>
          <w:color w:val="000000" w:themeColor="text1"/>
          <w:sz w:val="22"/>
          <w:szCs w:val="22"/>
        </w:rPr>
        <w:t xml:space="preserve"> anuales de manejo sustentable a los productores participantes. Al finalizar el período, se realiza una nueva toma de muestras y se comparan los resultados con la línea de base para determinar la evolución del carbono orgánico en suelo y cuantificar el carbono secuestrad</w:t>
      </w:r>
      <w:r>
        <w:rPr>
          <w:rFonts w:ascii="Noto Sans Light" w:hAnsi="Noto Sans Light" w:cs="Noto Sans Light"/>
          <w:color w:val="000000" w:themeColor="text1"/>
          <w:sz w:val="22"/>
          <w:szCs w:val="22"/>
        </w:rPr>
        <w:t>o.</w:t>
      </w:r>
      <w:r w:rsidRPr="006815CE">
        <w:rPr>
          <w:rFonts w:ascii="Segoe UI" w:hAnsi="Segoe UI" w:cs="Segoe UI"/>
          <w:sz w:val="21"/>
          <w:szCs w:val="21"/>
          <w:lang w:eastAsia="es-AR"/>
        </w:rPr>
        <w:t xml:space="preserve"> </w:t>
      </w:r>
      <w:r w:rsidRPr="006815CE">
        <w:rPr>
          <w:rFonts w:ascii="Noto Sans Light" w:hAnsi="Noto Sans Light" w:cs="Noto Sans Light"/>
          <w:color w:val="000000" w:themeColor="text1"/>
          <w:sz w:val="22"/>
          <w:szCs w:val="22"/>
        </w:rPr>
        <w:t>Los avances más significativos se observaron en cuatro de los establecimientos participantes que finalizarán su ciclo de monitoreo el próximo año. Allí, las evaluaciones visuales realizadas periódicamente evidencian una evolución positiva de la salud del suelo, reflejada en mejoras de la estructura, la porosidad y el contenido de materia orgánica, aspectos fundamentales para sostener la productividad y la resiliencia de los sistemas agrícolas.</w:t>
      </w:r>
      <w:r w:rsidR="00BF1444">
        <w:rPr>
          <w:rFonts w:ascii="Noto Sans Light" w:hAnsi="Noto Sans Light" w:cs="Noto Sans Light"/>
          <w:color w:val="000000" w:themeColor="text1"/>
          <w:sz w:val="22"/>
          <w:szCs w:val="22"/>
        </w:rPr>
        <w:t xml:space="preserve"> </w:t>
      </w:r>
    </w:p>
    <w:p w14:paraId="6FE440BA" w14:textId="477A2044"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t xml:space="preserve">“En estos cuatro años que pasaron desde la medición de línea de base, vimos que estos campos están mejorando, especialmente en los parámetros más comprometidos”, explicó </w:t>
      </w:r>
      <w:r w:rsidRPr="00F21672">
        <w:rPr>
          <w:rStyle w:val="Textoennegrita"/>
          <w:rFonts w:ascii="Noto Sans Light" w:eastAsiaTheme="majorEastAsia" w:hAnsi="Noto Sans Light" w:cs="Noto Sans Light"/>
          <w:b w:val="0"/>
          <w:bCs w:val="0"/>
          <w:color w:val="000000" w:themeColor="text1"/>
          <w:sz w:val="22"/>
          <w:szCs w:val="22"/>
        </w:rPr>
        <w:t>Elke No</w:t>
      </w:r>
      <w:r>
        <w:rPr>
          <w:rStyle w:val="Textoennegrita"/>
          <w:rFonts w:ascii="Noto Sans Light" w:eastAsiaTheme="majorEastAsia" w:hAnsi="Noto Sans Light" w:cs="Noto Sans Light"/>
          <w:b w:val="0"/>
          <w:bCs w:val="0"/>
          <w:color w:val="000000" w:themeColor="text1"/>
          <w:sz w:val="22"/>
          <w:szCs w:val="22"/>
        </w:rPr>
        <w:t>e</w:t>
      </w:r>
      <w:r w:rsidRPr="00F21672">
        <w:rPr>
          <w:rStyle w:val="Textoennegrita"/>
          <w:rFonts w:ascii="Noto Sans Light" w:eastAsiaTheme="majorEastAsia" w:hAnsi="Noto Sans Light" w:cs="Noto Sans Light"/>
          <w:b w:val="0"/>
          <w:bCs w:val="0"/>
          <w:color w:val="000000" w:themeColor="text1"/>
          <w:sz w:val="22"/>
          <w:szCs w:val="22"/>
        </w:rPr>
        <w:t>llemeyer, directora de A</w:t>
      </w:r>
      <w:r>
        <w:rPr>
          <w:rStyle w:val="Textoennegrita"/>
          <w:rFonts w:ascii="Noto Sans Light" w:eastAsiaTheme="majorEastAsia" w:hAnsi="Noto Sans Light" w:cs="Noto Sans Light"/>
          <w:b w:val="0"/>
          <w:bCs w:val="0"/>
          <w:color w:val="000000" w:themeColor="text1"/>
          <w:sz w:val="22"/>
          <w:szCs w:val="22"/>
        </w:rPr>
        <w:t>gsu</w:t>
      </w:r>
      <w:r w:rsidRPr="00F21672">
        <w:rPr>
          <w:rStyle w:val="Textoennegrita"/>
          <w:rFonts w:ascii="Noto Sans Light" w:eastAsiaTheme="majorEastAsia" w:hAnsi="Noto Sans Light" w:cs="Noto Sans Light"/>
          <w:b w:val="0"/>
          <w:bCs w:val="0"/>
          <w:color w:val="000000" w:themeColor="text1"/>
          <w:sz w:val="22"/>
          <w:szCs w:val="22"/>
        </w:rPr>
        <w:t>s</w:t>
      </w:r>
      <w:r w:rsidRPr="00F21672">
        <w:rPr>
          <w:rFonts w:ascii="Noto Sans Light" w:hAnsi="Noto Sans Light" w:cs="Noto Sans Light"/>
          <w:color w:val="000000" w:themeColor="text1"/>
          <w:sz w:val="22"/>
          <w:szCs w:val="22"/>
        </w:rPr>
        <w:t>.</w:t>
      </w:r>
    </w:p>
    <w:p w14:paraId="229405D9" w14:textId="77777777"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lastRenderedPageBreak/>
        <w:t>Las mediciones también permitieron identificar factores que todavía dificultan la recuperación, como la baja disponibilidad de fósforo y algunas características propias de la textura de los suelos.</w:t>
      </w:r>
    </w:p>
    <w:p w14:paraId="23B12D6D" w14:textId="77777777"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t>Para la especialista, una de las claves está en mantener las raíces vivas durante la mayor parte del año, mediante rotaciones más intensivas, cultivos de cobertura y una nutrición adecuada. “Son las raíces las que le dan vida al suelo”, resumió.</w:t>
      </w:r>
    </w:p>
    <w:p w14:paraId="32D1310D" w14:textId="159A9B15" w:rsidR="00F21672" w:rsidRPr="00F21672" w:rsidRDefault="00F21672" w:rsidP="00F21672">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t>Al finalizar el período de evaluación, aquellos que logren demostrar incrementos verificables en el carbono almacenado podrán avanzar hacia la certificación correspondiente.</w:t>
      </w:r>
      <w:r>
        <w:rPr>
          <w:rFonts w:ascii="Noto Sans Light" w:hAnsi="Noto Sans Light" w:cs="Noto Sans Light"/>
          <w:color w:val="000000" w:themeColor="text1"/>
          <w:sz w:val="22"/>
          <w:szCs w:val="22"/>
        </w:rPr>
        <w:t xml:space="preserve"> Para </w:t>
      </w:r>
      <w:r w:rsidRPr="00F21672">
        <w:rPr>
          <w:rFonts w:ascii="Noto Sans Light" w:hAnsi="Noto Sans Light" w:cs="Noto Sans Light"/>
          <w:color w:val="000000" w:themeColor="text1"/>
          <w:sz w:val="22"/>
          <w:szCs w:val="22"/>
        </w:rPr>
        <w:t>No</w:t>
      </w:r>
      <w:r>
        <w:rPr>
          <w:rFonts w:ascii="Noto Sans Light" w:hAnsi="Noto Sans Light" w:cs="Noto Sans Light"/>
          <w:color w:val="000000" w:themeColor="text1"/>
          <w:sz w:val="22"/>
          <w:szCs w:val="22"/>
        </w:rPr>
        <w:t>e</w:t>
      </w:r>
      <w:r w:rsidRPr="00F21672">
        <w:rPr>
          <w:rFonts w:ascii="Noto Sans Light" w:hAnsi="Noto Sans Light" w:cs="Noto Sans Light"/>
          <w:color w:val="000000" w:themeColor="text1"/>
          <w:sz w:val="22"/>
          <w:szCs w:val="22"/>
        </w:rPr>
        <w:t>llemeyer</w:t>
      </w:r>
      <w:r>
        <w:rPr>
          <w:rFonts w:ascii="Noto Sans Light" w:hAnsi="Noto Sans Light" w:cs="Noto Sans Light"/>
          <w:color w:val="000000" w:themeColor="text1"/>
          <w:sz w:val="22"/>
          <w:szCs w:val="22"/>
        </w:rPr>
        <w:t xml:space="preserve">, la continuidad es clave: </w:t>
      </w:r>
      <w:r w:rsidRPr="00F21672">
        <w:rPr>
          <w:rFonts w:ascii="Noto Sans Light" w:hAnsi="Noto Sans Light" w:cs="Noto Sans Light"/>
          <w:color w:val="000000" w:themeColor="text1"/>
          <w:sz w:val="22"/>
          <w:szCs w:val="22"/>
        </w:rPr>
        <w:t>“En 2020 y 2021 todas las empresas tenían su proyecto de carbono. Al día de hoy, el de UPL es el único que sigue en vigencia y evolucionando”, destacó</w:t>
      </w:r>
      <w:r>
        <w:rPr>
          <w:rFonts w:ascii="Noto Sans Light" w:hAnsi="Noto Sans Light" w:cs="Noto Sans Light"/>
          <w:color w:val="000000" w:themeColor="text1"/>
          <w:sz w:val="22"/>
          <w:szCs w:val="22"/>
        </w:rPr>
        <w:t>.</w:t>
      </w:r>
    </w:p>
    <w:p w14:paraId="626AF280" w14:textId="3AD18FE3" w:rsidR="00F21672" w:rsidRPr="00F21672" w:rsidRDefault="00F21672" w:rsidP="00030F1A">
      <w:pPr>
        <w:pStyle w:val="NormalWeb"/>
        <w:rPr>
          <w:rFonts w:ascii="Noto Sans Light" w:hAnsi="Noto Sans Light" w:cs="Noto Sans Light"/>
          <w:color w:val="000000" w:themeColor="text1"/>
          <w:sz w:val="22"/>
          <w:szCs w:val="22"/>
        </w:rPr>
      </w:pPr>
      <w:r w:rsidRPr="00F21672">
        <w:rPr>
          <w:rFonts w:ascii="Noto Sans Light" w:hAnsi="Noto Sans Light" w:cs="Noto Sans Light"/>
          <w:color w:val="000000" w:themeColor="text1"/>
          <w:sz w:val="22"/>
          <w:szCs w:val="22"/>
        </w:rPr>
        <w:t>En el Día Internacional contra el Cambio Climático</w:t>
      </w:r>
      <w:r w:rsidR="00401255">
        <w:rPr>
          <w:rFonts w:ascii="Noto Sans Light" w:hAnsi="Noto Sans Light" w:cs="Noto Sans Light"/>
          <w:color w:val="000000" w:themeColor="text1"/>
          <w:sz w:val="22"/>
          <w:szCs w:val="22"/>
        </w:rPr>
        <w:t xml:space="preserve"> vale la pena poner en valor la voluntad y convicción de empresas</w:t>
      </w:r>
      <w:r w:rsidR="00030F1A">
        <w:rPr>
          <w:rFonts w:ascii="Noto Sans Light" w:hAnsi="Noto Sans Light" w:cs="Noto Sans Light"/>
          <w:color w:val="000000" w:themeColor="text1"/>
          <w:sz w:val="22"/>
          <w:szCs w:val="22"/>
        </w:rPr>
        <w:t xml:space="preserve"> </w:t>
      </w:r>
      <w:r w:rsidR="00401255">
        <w:rPr>
          <w:rFonts w:ascii="Noto Sans Light" w:hAnsi="Noto Sans Light" w:cs="Noto Sans Light"/>
          <w:color w:val="000000" w:themeColor="text1"/>
          <w:sz w:val="22"/>
          <w:szCs w:val="22"/>
        </w:rPr>
        <w:t xml:space="preserve">que invierten recursos para </w:t>
      </w:r>
      <w:r w:rsidR="00030F1A">
        <w:rPr>
          <w:rFonts w:ascii="Noto Sans Light" w:hAnsi="Noto Sans Light" w:cs="Noto Sans Light"/>
          <w:color w:val="000000" w:themeColor="text1"/>
          <w:sz w:val="22"/>
          <w:szCs w:val="22"/>
        </w:rPr>
        <w:t>acompañar a productores comprometidos con los ambientes en los que producen. Y todo con miradas a largo plazo, p</w:t>
      </w:r>
      <w:r w:rsidRPr="00F21672">
        <w:rPr>
          <w:rFonts w:ascii="Noto Sans Light" w:hAnsi="Noto Sans Light" w:cs="Noto Sans Light"/>
          <w:color w:val="000000" w:themeColor="text1"/>
          <w:sz w:val="22"/>
          <w:szCs w:val="22"/>
        </w:rPr>
        <w:t>orque recuperar un suelo lleva años y exige un trabajo que no termina con una campaña ni con una certificación.</w:t>
      </w:r>
      <w:r w:rsidR="00030F1A">
        <w:rPr>
          <w:rFonts w:ascii="Noto Sans Light" w:hAnsi="Noto Sans Light" w:cs="Noto Sans Light"/>
          <w:color w:val="000000" w:themeColor="text1"/>
          <w:sz w:val="22"/>
          <w:szCs w:val="22"/>
        </w:rPr>
        <w:t xml:space="preserve"> </w:t>
      </w:r>
      <w:proofErr w:type="spellStart"/>
      <w:r w:rsidR="00030F1A" w:rsidRPr="00F21672">
        <w:rPr>
          <w:rFonts w:ascii="Noto Sans Light" w:hAnsi="Noto Sans Light" w:cs="Noto Sans Light"/>
          <w:color w:val="000000" w:themeColor="text1"/>
          <w:sz w:val="22"/>
          <w:szCs w:val="22"/>
        </w:rPr>
        <w:t>Gigaton</w:t>
      </w:r>
      <w:proofErr w:type="spellEnd"/>
      <w:r w:rsidR="00030F1A" w:rsidRPr="00F21672">
        <w:rPr>
          <w:rFonts w:ascii="Noto Sans Light" w:hAnsi="Noto Sans Light" w:cs="Noto Sans Light"/>
          <w:color w:val="000000" w:themeColor="text1"/>
          <w:sz w:val="22"/>
          <w:szCs w:val="22"/>
        </w:rPr>
        <w:t xml:space="preserve"> </w:t>
      </w:r>
      <w:proofErr w:type="spellStart"/>
      <w:r w:rsidR="00030F1A" w:rsidRPr="00F21672">
        <w:rPr>
          <w:rFonts w:ascii="Noto Sans Light" w:hAnsi="Noto Sans Light" w:cs="Noto Sans Light"/>
          <w:color w:val="000000" w:themeColor="text1"/>
          <w:sz w:val="22"/>
          <w:szCs w:val="22"/>
        </w:rPr>
        <w:t>Carbon</w:t>
      </w:r>
      <w:proofErr w:type="spellEnd"/>
      <w:r w:rsidR="00030F1A" w:rsidRPr="00F21672">
        <w:rPr>
          <w:rFonts w:ascii="Noto Sans Light" w:hAnsi="Noto Sans Light" w:cs="Noto Sans Light"/>
          <w:color w:val="000000" w:themeColor="text1"/>
          <w:sz w:val="22"/>
          <w:szCs w:val="22"/>
        </w:rPr>
        <w:t xml:space="preserve"> </w:t>
      </w:r>
      <w:proofErr w:type="spellStart"/>
      <w:r w:rsidR="00030F1A" w:rsidRPr="00F21672">
        <w:rPr>
          <w:rFonts w:ascii="Noto Sans Light" w:hAnsi="Noto Sans Light" w:cs="Noto Sans Light"/>
          <w:color w:val="000000" w:themeColor="text1"/>
          <w:sz w:val="22"/>
          <w:szCs w:val="22"/>
        </w:rPr>
        <w:t>Goal</w:t>
      </w:r>
      <w:proofErr w:type="spellEnd"/>
      <w:r w:rsidR="00030F1A" w:rsidRPr="00F21672">
        <w:rPr>
          <w:rFonts w:ascii="Noto Sans Light" w:hAnsi="Noto Sans Light" w:cs="Noto Sans Light"/>
          <w:color w:val="000000" w:themeColor="text1"/>
          <w:sz w:val="22"/>
          <w:szCs w:val="22"/>
        </w:rPr>
        <w:t xml:space="preserve"> forma parte de una estrategia internacional de UPL que tiene como meta contribuir a la reducción de una gigatonelada de CO₂ y gases de efecto invernadero equivalentes para 2040.</w:t>
      </w:r>
    </w:p>
    <w:p w14:paraId="18F034D2" w14:textId="5A89DFEE" w:rsidR="00A8456B" w:rsidRPr="00F21672" w:rsidRDefault="00A8456B" w:rsidP="00A8456B">
      <w:pPr>
        <w:spacing w:line="276" w:lineRule="auto"/>
        <w:jc w:val="both"/>
        <w:rPr>
          <w:rFonts w:ascii="Noto Sans" w:hAnsi="Noto Sans" w:cs="Noto Sans"/>
          <w:i/>
          <w:iCs/>
          <w:color w:val="000000" w:themeColor="text1"/>
          <w:sz w:val="20"/>
          <w:szCs w:val="20"/>
        </w:rPr>
      </w:pPr>
      <w:r w:rsidRPr="00F21672">
        <w:rPr>
          <w:rFonts w:ascii="Noto Sans" w:hAnsi="Noto Sans" w:cs="Noto Sans"/>
          <w:i/>
          <w:iCs/>
          <w:color w:val="000000" w:themeColor="text1"/>
          <w:sz w:val="20"/>
          <w:szCs w:val="20"/>
        </w:rPr>
        <w:t>Acerca de UPL Corp</w:t>
      </w:r>
    </w:p>
    <w:p w14:paraId="5227171B" w14:textId="77777777" w:rsidR="00A8456B" w:rsidRPr="00F21672" w:rsidRDefault="00A8456B" w:rsidP="00A8456B">
      <w:pPr>
        <w:spacing w:line="276" w:lineRule="auto"/>
        <w:jc w:val="both"/>
        <w:rPr>
          <w:rFonts w:ascii="Noto Sans" w:hAnsi="Noto Sans" w:cs="Noto Sans"/>
          <w:i/>
          <w:iCs/>
          <w:color w:val="000000" w:themeColor="text1"/>
          <w:sz w:val="20"/>
          <w:szCs w:val="20"/>
        </w:rPr>
      </w:pPr>
      <w:r w:rsidRPr="00F21672">
        <w:rPr>
          <w:rFonts w:ascii="Noto Sans" w:hAnsi="Noto Sans" w:cs="Noto Sans"/>
          <w:i/>
          <w:iCs/>
          <w:color w:val="000000" w:themeColor="text1"/>
          <w:sz w:val="20"/>
          <w:szCs w:val="20"/>
        </w:rPr>
        <w:t xml:space="preserve">UPL </w:t>
      </w:r>
      <w:proofErr w:type="spellStart"/>
      <w:r w:rsidRPr="00F21672">
        <w:rPr>
          <w:rFonts w:ascii="Noto Sans" w:hAnsi="Noto Sans" w:cs="Noto Sans"/>
          <w:i/>
          <w:iCs/>
          <w:color w:val="000000" w:themeColor="text1"/>
          <w:sz w:val="20"/>
          <w:szCs w:val="20"/>
        </w:rPr>
        <w:t>Corporation</w:t>
      </w:r>
      <w:proofErr w:type="spellEnd"/>
      <w:r w:rsidRPr="00F21672">
        <w:rPr>
          <w:rFonts w:ascii="Noto Sans" w:hAnsi="Noto Sans" w:cs="Noto Sans"/>
          <w:i/>
          <w:iCs/>
          <w:color w:val="000000" w:themeColor="text1"/>
          <w:sz w:val="20"/>
          <w:szCs w:val="20"/>
        </w:rPr>
        <w:t xml:space="preserve"> Ltd. (UPL Corp) es una empresa líder mundial en protección de cultivos y soluciones biológicas que define el futuro a través de la agricultura sostenible y una mentalidad de dar prioridad al productor. Con una cartera sólida de soluciones holísticas, UPL Corp tiene como objetivo crear crecimiento y prosperidad compartidos para las comunidades agrícolas, la agricultura y nuestro planeta. Como la plataforma principal del grupo UPL, UPL Corp contribuye con más de 3.200 millones de dólares en ingresos anuales y es líder en fomentar la colaboración a través de OpenAg® para desarrollar tecnologías avanzadas para la salud y la productividad de los cultivos.</w:t>
      </w:r>
    </w:p>
    <w:p w14:paraId="32C3B47F" w14:textId="77777777" w:rsidR="00A8456B" w:rsidRPr="00F21672" w:rsidRDefault="00A8456B">
      <w:pPr>
        <w:rPr>
          <w:color w:val="000000" w:themeColor="text1"/>
        </w:rPr>
      </w:pPr>
    </w:p>
    <w:sectPr w:rsidR="00A8456B" w:rsidRPr="00F21672">
      <w:headerReference w:type="default" r:id="rId7"/>
      <w:footerReference w:type="even" r:id="rId8"/>
      <w:footerReference w:type="default" r:id="rId9"/>
      <w:footerReference w:type="firs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4B362" w14:textId="77777777" w:rsidR="00624740" w:rsidRDefault="00624740" w:rsidP="00E64E75">
      <w:pPr>
        <w:spacing w:after="0" w:line="240" w:lineRule="auto"/>
      </w:pPr>
      <w:r>
        <w:separator/>
      </w:r>
    </w:p>
  </w:endnote>
  <w:endnote w:type="continuationSeparator" w:id="0">
    <w:p w14:paraId="40A50134" w14:textId="77777777" w:rsidR="00624740" w:rsidRDefault="00624740" w:rsidP="00E64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mbria"/>
    <w:panose1 w:val="020B0502040504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Light">
    <w:panose1 w:val="020B0604020202020204"/>
    <w:charset w:val="00"/>
    <w:family w:val="swiss"/>
    <w:pitch w:val="variable"/>
    <w:sig w:usb0="E00002FF" w:usb1="4000001F" w:usb2="08000029" w:usb3="00000000" w:csb0="00000001"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0000021" w:usb3="00000000" w:csb0="0000019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E0AB" w14:textId="39B10223" w:rsidR="002410E2" w:rsidRDefault="002410E2">
    <w:pPr>
      <w:pStyle w:val="Piedepgina"/>
    </w:pPr>
    <w:r>
      <w:rPr>
        <w:noProof/>
      </w:rPr>
      <mc:AlternateContent>
        <mc:Choice Requires="wps">
          <w:drawing>
            <wp:anchor distT="0" distB="0" distL="0" distR="0" simplePos="0" relativeHeight="251659264" behindDoc="0" locked="0" layoutInCell="1" allowOverlap="1" wp14:anchorId="56ABD0AE" wp14:editId="3445C000">
              <wp:simplePos x="635" y="635"/>
              <wp:positionH relativeFrom="page">
                <wp:align>right</wp:align>
              </wp:positionH>
              <wp:positionV relativeFrom="page">
                <wp:align>bottom</wp:align>
              </wp:positionV>
              <wp:extent cx="596265" cy="370205"/>
              <wp:effectExtent l="0" t="0" r="0" b="0"/>
              <wp:wrapNone/>
              <wp:docPr id="1494921438" name="Cuadro de texto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6265" cy="370205"/>
                      </a:xfrm>
                      <a:prstGeom prst="rect">
                        <a:avLst/>
                      </a:prstGeom>
                      <a:noFill/>
                      <a:ln>
                        <a:noFill/>
                      </a:ln>
                    </wps:spPr>
                    <wps:txbx>
                      <w:txbxContent>
                        <w:p w14:paraId="249D734E" w14:textId="475D4E67" w:rsidR="002410E2" w:rsidRPr="002410E2" w:rsidRDefault="002410E2" w:rsidP="002410E2">
                          <w:pPr>
                            <w:spacing w:after="0"/>
                            <w:rPr>
                              <w:rFonts w:ascii="Aptos" w:eastAsia="Aptos" w:hAnsi="Aptos" w:cs="Aptos"/>
                              <w:noProof/>
                              <w:color w:val="000000"/>
                              <w:sz w:val="20"/>
                              <w:szCs w:val="20"/>
                            </w:rPr>
                          </w:pPr>
                          <w:r w:rsidRPr="002410E2">
                            <w:rPr>
                              <w:rFonts w:ascii="Aptos" w:eastAsia="Aptos" w:hAnsi="Aptos" w:cs="Aptos"/>
                              <w:noProof/>
                              <w:color w:val="000000"/>
                              <w:sz w:val="20"/>
                              <w:szCs w:val="20"/>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56ABD0AE" id="_x0000_t202" coordsize="21600,21600" o:spt="202" path="m,l,21600r21600,l21600,xe">
              <v:stroke joinstyle="miter"/>
              <v:path gradientshapeok="t" o:connecttype="rect"/>
            </v:shapetype>
            <v:shape id="Cuadro de texto 2" o:spid="_x0000_s1026" type="#_x0000_t202" alt="Public" style="position:absolute;margin-left:-4.25pt;margin-top:0;width:46.95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" filled="f" stroked="f">
              <v:textbox style="mso-fit-shape-to-text:t" inset="0,0,20pt,15pt">
                <w:txbxContent>
                  <w:p w14:paraId="249D734E" w14:textId="475D4E67" w:rsidR="002410E2" w:rsidRPr="002410E2" w:rsidRDefault="002410E2" w:rsidP="002410E2">
                    <w:pPr>
                      <w:spacing w:after="0"/>
                      <w:rPr>
                        <w:rFonts w:ascii="Aptos" w:eastAsia="Aptos" w:hAnsi="Aptos" w:cs="Aptos"/>
                        <w:noProof/>
                        <w:color w:val="000000"/>
                        <w:sz w:val="20"/>
                        <w:szCs w:val="20"/>
                      </w:rPr>
                    </w:pPr>
                    <w:r w:rsidRPr="002410E2">
                      <w:rPr>
                        <w:rFonts w:ascii="Aptos" w:eastAsia="Aptos" w:hAnsi="Aptos" w:cs="Aptos"/>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5301A" w14:textId="5B9BAA9F" w:rsidR="00E64E75" w:rsidRPr="009A5C4D" w:rsidRDefault="00E64E75" w:rsidP="00E64E75">
    <w:pPr>
      <w:tabs>
        <w:tab w:val="center" w:pos="4536"/>
        <w:tab w:val="right" w:pos="9072"/>
        <w:tab w:val="left" w:pos="555"/>
        <w:tab w:val="left" w:pos="6930"/>
      </w:tabs>
      <w:spacing w:after="0" w:line="240" w:lineRule="auto"/>
      <w:jc w:val="right"/>
      <w:rPr>
        <w:rFonts w:ascii="Tahoma" w:eastAsia="Tahoma" w:hAnsi="Tahoma" w:cs="Tahoma"/>
        <w:sz w:val="14"/>
        <w:szCs w:val="14"/>
        <w:lang w:val="es-MX"/>
      </w:rPr>
    </w:pPr>
    <w:r w:rsidRPr="009A5C4D">
      <w:rPr>
        <w:rFonts w:ascii="Tahoma" w:eastAsia="Tahoma" w:hAnsi="Tahoma" w:cs="Tahoma"/>
        <w:sz w:val="14"/>
        <w:szCs w:val="14"/>
        <w:lang w:val="es-MX"/>
      </w:rPr>
      <w:t xml:space="preserve">Prensa: SAVIA Comunicación </w:t>
    </w:r>
  </w:p>
  <w:p w14:paraId="5E032DC9" w14:textId="2D89559C" w:rsidR="00E64E75" w:rsidRPr="009A5C4D" w:rsidRDefault="00E64E75" w:rsidP="00E64E75">
    <w:pPr>
      <w:tabs>
        <w:tab w:val="center" w:pos="4536"/>
        <w:tab w:val="right" w:pos="9072"/>
        <w:tab w:val="left" w:pos="555"/>
      </w:tabs>
      <w:spacing w:after="0" w:line="240" w:lineRule="auto"/>
      <w:jc w:val="right"/>
      <w:rPr>
        <w:rFonts w:ascii="Tahoma" w:eastAsia="Tahoma" w:hAnsi="Tahoma" w:cs="Tahoma"/>
        <w:sz w:val="14"/>
        <w:szCs w:val="14"/>
        <w:lang w:val="es-MX"/>
      </w:rPr>
    </w:pPr>
    <w:r w:rsidRPr="009A5C4D">
      <w:rPr>
        <w:rFonts w:ascii="Tahoma" w:eastAsia="Tahoma" w:hAnsi="Tahoma" w:cs="Tahoma"/>
        <w:sz w:val="14"/>
        <w:szCs w:val="14"/>
        <w:lang w:val="es-MX"/>
      </w:rPr>
      <w:t xml:space="preserve"> Tel. 011 6967 2255</w:t>
    </w:r>
    <w:r w:rsidR="000478D8">
      <w:rPr>
        <w:rFonts w:ascii="Tahoma" w:eastAsia="Tahoma" w:hAnsi="Tahoma" w:cs="Tahoma"/>
        <w:sz w:val="14"/>
        <w:szCs w:val="14"/>
        <w:lang w:val="es-MX"/>
      </w:rPr>
      <w:t xml:space="preserve"> </w:t>
    </w:r>
    <w:r w:rsidR="000478D8">
      <w:rPr>
        <w:rFonts w:ascii="Tahoma" w:eastAsia="Tahoma" w:hAnsi="Tahoma" w:cs="Tahoma"/>
        <w:color w:val="222222"/>
        <w:sz w:val="14"/>
        <w:szCs w:val="14"/>
      </w:rPr>
      <w:t>+</w:t>
    </w:r>
    <w:r w:rsidR="000478D8" w:rsidRPr="000478D8">
      <w:rPr>
        <w:rFonts w:ascii="Tahoma" w:eastAsia="Tahoma" w:hAnsi="Tahoma" w:cs="Tahoma"/>
        <w:sz w:val="14"/>
        <w:szCs w:val="14"/>
        <w:lang w:val="es-MX"/>
      </w:rPr>
      <w:t>54 9 11 6052 0241</w:t>
    </w:r>
  </w:p>
  <w:p w14:paraId="3B0057C7" w14:textId="77777777" w:rsidR="00E64E75" w:rsidRPr="009A5C4D" w:rsidRDefault="00000000" w:rsidP="00E64E75">
    <w:pPr>
      <w:tabs>
        <w:tab w:val="center" w:pos="4536"/>
        <w:tab w:val="right" w:pos="9072"/>
        <w:tab w:val="left" w:pos="555"/>
      </w:tabs>
      <w:spacing w:after="0" w:line="240" w:lineRule="auto"/>
      <w:jc w:val="right"/>
      <w:rPr>
        <w:rFonts w:ascii="Tahoma" w:eastAsia="Tahoma" w:hAnsi="Tahoma" w:cs="Tahoma"/>
        <w:sz w:val="14"/>
        <w:szCs w:val="14"/>
        <w:lang w:val="es-MX"/>
      </w:rPr>
    </w:pPr>
    <w:hyperlink r:id="rId1">
      <w:r w:rsidR="00E64E75" w:rsidRPr="009A5C4D">
        <w:rPr>
          <w:rFonts w:ascii="Tahoma" w:eastAsia="Tahoma" w:hAnsi="Tahoma" w:cs="Tahoma"/>
          <w:color w:val="0000FF"/>
          <w:sz w:val="14"/>
          <w:szCs w:val="14"/>
          <w:u w:val="single"/>
          <w:lang w:val="es-MX"/>
        </w:rPr>
        <w:t>prensa@saviacomunicacion.com.ar</w:t>
      </w:r>
    </w:hyperlink>
  </w:p>
  <w:p w14:paraId="0E8A970B" w14:textId="17344C61" w:rsidR="00E64E75" w:rsidRDefault="00000000" w:rsidP="00E64E75">
    <w:pPr>
      <w:pStyle w:val="Piedepgina"/>
      <w:jc w:val="right"/>
    </w:pPr>
    <w:hyperlink r:id="rId2">
      <w:r w:rsidR="00E64E75" w:rsidRPr="009A5C4D">
        <w:rPr>
          <w:rFonts w:ascii="Tahoma" w:eastAsia="Tahoma" w:hAnsi="Tahoma" w:cs="Tahoma"/>
          <w:sz w:val="14"/>
          <w:szCs w:val="14"/>
          <w:lang w:val="es-MX"/>
        </w:rPr>
        <w:t>www.saviacomunicacion.com.ar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B71B" w14:textId="0DC6B5A6" w:rsidR="002410E2" w:rsidRDefault="002410E2">
    <w:pPr>
      <w:pStyle w:val="Piedepgina"/>
    </w:pPr>
    <w:r>
      <w:rPr>
        <w:noProof/>
      </w:rPr>
      <mc:AlternateContent>
        <mc:Choice Requires="wps">
          <w:drawing>
            <wp:anchor distT="0" distB="0" distL="0" distR="0" simplePos="0" relativeHeight="251658240" behindDoc="0" locked="0" layoutInCell="1" allowOverlap="1" wp14:anchorId="1B334C04" wp14:editId="4FA906B5">
              <wp:simplePos x="635" y="635"/>
              <wp:positionH relativeFrom="page">
                <wp:align>right</wp:align>
              </wp:positionH>
              <wp:positionV relativeFrom="page">
                <wp:align>bottom</wp:align>
              </wp:positionV>
              <wp:extent cx="596265" cy="370205"/>
              <wp:effectExtent l="0" t="0" r="0" b="0"/>
              <wp:wrapNone/>
              <wp:docPr id="1842513304" name="Cuadro de texto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6265" cy="370205"/>
                      </a:xfrm>
                      <a:prstGeom prst="rect">
                        <a:avLst/>
                      </a:prstGeom>
                      <a:noFill/>
                      <a:ln>
                        <a:noFill/>
                      </a:ln>
                    </wps:spPr>
                    <wps:txbx>
                      <w:txbxContent>
                        <w:p w14:paraId="59C360B2" w14:textId="37617BC9" w:rsidR="002410E2" w:rsidRPr="002410E2" w:rsidRDefault="002410E2" w:rsidP="002410E2">
                          <w:pPr>
                            <w:spacing w:after="0"/>
                            <w:rPr>
                              <w:rFonts w:ascii="Aptos" w:eastAsia="Aptos" w:hAnsi="Aptos" w:cs="Aptos"/>
                              <w:noProof/>
                              <w:color w:val="000000"/>
                              <w:sz w:val="20"/>
                              <w:szCs w:val="20"/>
                            </w:rPr>
                          </w:pPr>
                          <w:r w:rsidRPr="002410E2">
                            <w:rPr>
                              <w:rFonts w:ascii="Aptos" w:eastAsia="Aptos" w:hAnsi="Aptos" w:cs="Aptos"/>
                              <w:noProof/>
                              <w:color w:val="000000"/>
                              <w:sz w:val="20"/>
                              <w:szCs w:val="20"/>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1B334C04" id="_x0000_t202" coordsize="21600,21600" o:spt="202" path="m,l,21600r21600,l21600,xe">
              <v:stroke joinstyle="miter"/>
              <v:path gradientshapeok="t" o:connecttype="rect"/>
            </v:shapetype>
            <v:shape id="Cuadro de texto 1" o:spid="_x0000_s1027" type="#_x0000_t202" alt="Public" style="position:absolute;margin-left:-4.25pt;margin-top:0;width:46.9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" filled="f" stroked="f">
              <v:textbox style="mso-fit-shape-to-text:t" inset="0,0,20pt,15pt">
                <w:txbxContent>
                  <w:p w14:paraId="59C360B2" w14:textId="37617BC9" w:rsidR="002410E2" w:rsidRPr="002410E2" w:rsidRDefault="002410E2" w:rsidP="002410E2">
                    <w:pPr>
                      <w:spacing w:after="0"/>
                      <w:rPr>
                        <w:rFonts w:ascii="Aptos" w:eastAsia="Aptos" w:hAnsi="Aptos" w:cs="Aptos"/>
                        <w:noProof/>
                        <w:color w:val="000000"/>
                        <w:sz w:val="20"/>
                        <w:szCs w:val="20"/>
                      </w:rPr>
                    </w:pPr>
                    <w:r w:rsidRPr="002410E2">
                      <w:rPr>
                        <w:rFonts w:ascii="Aptos" w:eastAsia="Aptos" w:hAnsi="Aptos" w:cs="Aptos"/>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290E6" w14:textId="77777777" w:rsidR="00624740" w:rsidRDefault="00624740" w:rsidP="00E64E75">
      <w:pPr>
        <w:spacing w:after="0" w:line="240" w:lineRule="auto"/>
      </w:pPr>
      <w:r>
        <w:separator/>
      </w:r>
    </w:p>
  </w:footnote>
  <w:footnote w:type="continuationSeparator" w:id="0">
    <w:p w14:paraId="6A670174" w14:textId="77777777" w:rsidR="00624740" w:rsidRDefault="00624740" w:rsidP="00E64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744DD" w14:textId="10A4BB52" w:rsidR="00E64E75" w:rsidRDefault="00E64E75" w:rsidP="00E64E75">
    <w:pPr>
      <w:pStyle w:val="Encabezado"/>
      <w:jc w:val="right"/>
    </w:pPr>
    <w:r w:rsidRPr="00492154">
      <w:rPr>
        <w:noProof/>
      </w:rPr>
      <w:drawing>
        <wp:inline distT="0" distB="0" distL="0" distR="0" wp14:anchorId="1AB2E85F" wp14:editId="5C894519">
          <wp:extent cx="1468867" cy="704850"/>
          <wp:effectExtent l="0" t="0" r="0" b="0"/>
          <wp:docPr id="19011949"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949" name="Imagen 1" descr="Logotipo, nombre de la empresa&#10;&#10;El contenido generado por IA puede ser incorrecto."/>
                  <pic:cNvPicPr/>
                </pic:nvPicPr>
                <pic:blipFill>
                  <a:blip r:embed="rId1"/>
                  <a:stretch>
                    <a:fillRect/>
                  </a:stretch>
                </pic:blipFill>
                <pic:spPr>
                  <a:xfrm>
                    <a:off x="0" y="0"/>
                    <a:ext cx="1470305" cy="7055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F424A1"/>
    <w:multiLevelType w:val="hybridMultilevel"/>
    <w:tmpl w:val="856AAAD6"/>
    <w:lvl w:ilvl="0" w:tplc="4858C75E">
      <w:start w:val="1"/>
      <w:numFmt w:val="bullet"/>
      <w:lvlText w:val="•"/>
      <w:lvlJc w:val="left"/>
      <w:pPr>
        <w:tabs>
          <w:tab w:val="num" w:pos="720"/>
        </w:tabs>
        <w:ind w:left="720" w:hanging="360"/>
      </w:pPr>
      <w:rPr>
        <w:rFonts w:ascii="Noto Sans Symbols" w:hAnsi="Noto Sans Symbols" w:hint="default"/>
      </w:rPr>
    </w:lvl>
    <w:lvl w:ilvl="1" w:tplc="FFAE5AB4" w:tentative="1">
      <w:start w:val="1"/>
      <w:numFmt w:val="bullet"/>
      <w:lvlText w:val="•"/>
      <w:lvlJc w:val="left"/>
      <w:pPr>
        <w:tabs>
          <w:tab w:val="num" w:pos="1440"/>
        </w:tabs>
        <w:ind w:left="1440" w:hanging="360"/>
      </w:pPr>
      <w:rPr>
        <w:rFonts w:ascii="Noto Sans Symbols" w:hAnsi="Noto Sans Symbols" w:hint="default"/>
      </w:rPr>
    </w:lvl>
    <w:lvl w:ilvl="2" w:tplc="07DCF73A" w:tentative="1">
      <w:start w:val="1"/>
      <w:numFmt w:val="bullet"/>
      <w:lvlText w:val="•"/>
      <w:lvlJc w:val="left"/>
      <w:pPr>
        <w:tabs>
          <w:tab w:val="num" w:pos="2160"/>
        </w:tabs>
        <w:ind w:left="2160" w:hanging="360"/>
      </w:pPr>
      <w:rPr>
        <w:rFonts w:ascii="Noto Sans Symbols" w:hAnsi="Noto Sans Symbols" w:hint="default"/>
      </w:rPr>
    </w:lvl>
    <w:lvl w:ilvl="3" w:tplc="09C6763E" w:tentative="1">
      <w:start w:val="1"/>
      <w:numFmt w:val="bullet"/>
      <w:lvlText w:val="•"/>
      <w:lvlJc w:val="left"/>
      <w:pPr>
        <w:tabs>
          <w:tab w:val="num" w:pos="2880"/>
        </w:tabs>
        <w:ind w:left="2880" w:hanging="360"/>
      </w:pPr>
      <w:rPr>
        <w:rFonts w:ascii="Noto Sans Symbols" w:hAnsi="Noto Sans Symbols" w:hint="default"/>
      </w:rPr>
    </w:lvl>
    <w:lvl w:ilvl="4" w:tplc="910C17F2" w:tentative="1">
      <w:start w:val="1"/>
      <w:numFmt w:val="bullet"/>
      <w:lvlText w:val="•"/>
      <w:lvlJc w:val="left"/>
      <w:pPr>
        <w:tabs>
          <w:tab w:val="num" w:pos="3600"/>
        </w:tabs>
        <w:ind w:left="3600" w:hanging="360"/>
      </w:pPr>
      <w:rPr>
        <w:rFonts w:ascii="Noto Sans Symbols" w:hAnsi="Noto Sans Symbols" w:hint="default"/>
      </w:rPr>
    </w:lvl>
    <w:lvl w:ilvl="5" w:tplc="269CA35E" w:tentative="1">
      <w:start w:val="1"/>
      <w:numFmt w:val="bullet"/>
      <w:lvlText w:val="•"/>
      <w:lvlJc w:val="left"/>
      <w:pPr>
        <w:tabs>
          <w:tab w:val="num" w:pos="4320"/>
        </w:tabs>
        <w:ind w:left="4320" w:hanging="360"/>
      </w:pPr>
      <w:rPr>
        <w:rFonts w:ascii="Noto Sans Symbols" w:hAnsi="Noto Sans Symbols" w:hint="default"/>
      </w:rPr>
    </w:lvl>
    <w:lvl w:ilvl="6" w:tplc="D29E9920" w:tentative="1">
      <w:start w:val="1"/>
      <w:numFmt w:val="bullet"/>
      <w:lvlText w:val="•"/>
      <w:lvlJc w:val="left"/>
      <w:pPr>
        <w:tabs>
          <w:tab w:val="num" w:pos="5040"/>
        </w:tabs>
        <w:ind w:left="5040" w:hanging="360"/>
      </w:pPr>
      <w:rPr>
        <w:rFonts w:ascii="Noto Sans Symbols" w:hAnsi="Noto Sans Symbols" w:hint="default"/>
      </w:rPr>
    </w:lvl>
    <w:lvl w:ilvl="7" w:tplc="CAEAFF96" w:tentative="1">
      <w:start w:val="1"/>
      <w:numFmt w:val="bullet"/>
      <w:lvlText w:val="•"/>
      <w:lvlJc w:val="left"/>
      <w:pPr>
        <w:tabs>
          <w:tab w:val="num" w:pos="5760"/>
        </w:tabs>
        <w:ind w:left="5760" w:hanging="360"/>
      </w:pPr>
      <w:rPr>
        <w:rFonts w:ascii="Noto Sans Symbols" w:hAnsi="Noto Sans Symbols" w:hint="default"/>
      </w:rPr>
    </w:lvl>
    <w:lvl w:ilvl="8" w:tplc="D1B0F4E2" w:tentative="1">
      <w:start w:val="1"/>
      <w:numFmt w:val="bullet"/>
      <w:lvlText w:val="•"/>
      <w:lvlJc w:val="left"/>
      <w:pPr>
        <w:tabs>
          <w:tab w:val="num" w:pos="6480"/>
        </w:tabs>
        <w:ind w:left="6480" w:hanging="360"/>
      </w:pPr>
      <w:rPr>
        <w:rFonts w:ascii="Noto Sans Symbols" w:hAnsi="Noto Sans Symbols" w:hint="default"/>
      </w:rPr>
    </w:lvl>
  </w:abstractNum>
  <w:num w:numId="1" w16cid:durableId="596253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56B"/>
    <w:rsid w:val="00030F1A"/>
    <w:rsid w:val="000478D8"/>
    <w:rsid w:val="00086C5A"/>
    <w:rsid w:val="000A7983"/>
    <w:rsid w:val="000E2A41"/>
    <w:rsid w:val="00124DC7"/>
    <w:rsid w:val="001677A1"/>
    <w:rsid w:val="001A3378"/>
    <w:rsid w:val="001B3AB4"/>
    <w:rsid w:val="001C2AA0"/>
    <w:rsid w:val="002410E2"/>
    <w:rsid w:val="002C7BFE"/>
    <w:rsid w:val="002F7A9D"/>
    <w:rsid w:val="00335975"/>
    <w:rsid w:val="00401255"/>
    <w:rsid w:val="00423CFD"/>
    <w:rsid w:val="00450D70"/>
    <w:rsid w:val="004665BB"/>
    <w:rsid w:val="00484F24"/>
    <w:rsid w:val="00491817"/>
    <w:rsid w:val="00542E31"/>
    <w:rsid w:val="005767CC"/>
    <w:rsid w:val="005920DE"/>
    <w:rsid w:val="005A2F82"/>
    <w:rsid w:val="005B6382"/>
    <w:rsid w:val="005D0EC3"/>
    <w:rsid w:val="005E5138"/>
    <w:rsid w:val="00624740"/>
    <w:rsid w:val="00675FA6"/>
    <w:rsid w:val="006815CE"/>
    <w:rsid w:val="006E1411"/>
    <w:rsid w:val="006F4649"/>
    <w:rsid w:val="00721DB9"/>
    <w:rsid w:val="0076632F"/>
    <w:rsid w:val="007D6DE6"/>
    <w:rsid w:val="00823369"/>
    <w:rsid w:val="00860DE6"/>
    <w:rsid w:val="00893A61"/>
    <w:rsid w:val="008B2C52"/>
    <w:rsid w:val="00947112"/>
    <w:rsid w:val="00A7253C"/>
    <w:rsid w:val="00A83A0C"/>
    <w:rsid w:val="00A8456B"/>
    <w:rsid w:val="00AE356F"/>
    <w:rsid w:val="00AF1CB7"/>
    <w:rsid w:val="00B51158"/>
    <w:rsid w:val="00BA3EDB"/>
    <w:rsid w:val="00BE5C96"/>
    <w:rsid w:val="00BF1444"/>
    <w:rsid w:val="00C259C3"/>
    <w:rsid w:val="00C57B83"/>
    <w:rsid w:val="00C70431"/>
    <w:rsid w:val="00C71BE2"/>
    <w:rsid w:val="00D5198C"/>
    <w:rsid w:val="00E64E75"/>
    <w:rsid w:val="00E75FF4"/>
    <w:rsid w:val="00E775C0"/>
    <w:rsid w:val="00ED72DE"/>
    <w:rsid w:val="00F21672"/>
    <w:rsid w:val="00F45244"/>
    <w:rsid w:val="00FC667C"/>
    <w:rsid w:val="00FE56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4B48D"/>
  <w15:chartTrackingRefBased/>
  <w15:docId w15:val="{C476A6CB-02C4-4D05-8B42-F887D0773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845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845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8456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8456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8456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8456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456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456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456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456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8456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8456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8456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8456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845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45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45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456B"/>
    <w:rPr>
      <w:rFonts w:eastAsiaTheme="majorEastAsia" w:cstheme="majorBidi"/>
      <w:color w:val="272727" w:themeColor="text1" w:themeTint="D8"/>
    </w:rPr>
  </w:style>
  <w:style w:type="paragraph" w:styleId="Ttulo">
    <w:name w:val="Title"/>
    <w:basedOn w:val="Normal"/>
    <w:next w:val="Normal"/>
    <w:link w:val="TtuloCar"/>
    <w:uiPriority w:val="10"/>
    <w:qFormat/>
    <w:rsid w:val="00A84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845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45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45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456B"/>
    <w:pPr>
      <w:spacing w:before="160"/>
      <w:jc w:val="center"/>
    </w:pPr>
    <w:rPr>
      <w:i/>
      <w:iCs/>
      <w:color w:val="404040" w:themeColor="text1" w:themeTint="BF"/>
    </w:rPr>
  </w:style>
  <w:style w:type="character" w:customStyle="1" w:styleId="CitaCar">
    <w:name w:val="Cita Car"/>
    <w:basedOn w:val="Fuentedeprrafopredeter"/>
    <w:link w:val="Cita"/>
    <w:uiPriority w:val="29"/>
    <w:rsid w:val="00A8456B"/>
    <w:rPr>
      <w:i/>
      <w:iCs/>
      <w:color w:val="404040" w:themeColor="text1" w:themeTint="BF"/>
    </w:rPr>
  </w:style>
  <w:style w:type="paragraph" w:styleId="Prrafodelista">
    <w:name w:val="List Paragraph"/>
    <w:basedOn w:val="Normal"/>
    <w:uiPriority w:val="34"/>
    <w:qFormat/>
    <w:rsid w:val="00A8456B"/>
    <w:pPr>
      <w:ind w:left="720"/>
      <w:contextualSpacing/>
    </w:pPr>
  </w:style>
  <w:style w:type="character" w:styleId="nfasisintenso">
    <w:name w:val="Intense Emphasis"/>
    <w:basedOn w:val="Fuentedeprrafopredeter"/>
    <w:uiPriority w:val="21"/>
    <w:qFormat/>
    <w:rsid w:val="00A8456B"/>
    <w:rPr>
      <w:i/>
      <w:iCs/>
      <w:color w:val="2F5496" w:themeColor="accent1" w:themeShade="BF"/>
    </w:rPr>
  </w:style>
  <w:style w:type="paragraph" w:styleId="Citadestacada">
    <w:name w:val="Intense Quote"/>
    <w:basedOn w:val="Normal"/>
    <w:next w:val="Normal"/>
    <w:link w:val="CitadestacadaCar"/>
    <w:uiPriority w:val="30"/>
    <w:qFormat/>
    <w:rsid w:val="00A845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8456B"/>
    <w:rPr>
      <w:i/>
      <w:iCs/>
      <w:color w:val="2F5496" w:themeColor="accent1" w:themeShade="BF"/>
    </w:rPr>
  </w:style>
  <w:style w:type="character" w:styleId="Referenciaintensa">
    <w:name w:val="Intense Reference"/>
    <w:basedOn w:val="Fuentedeprrafopredeter"/>
    <w:uiPriority w:val="32"/>
    <w:qFormat/>
    <w:rsid w:val="00A8456B"/>
    <w:rPr>
      <w:b/>
      <w:bCs/>
      <w:smallCaps/>
      <w:color w:val="2F5496" w:themeColor="accent1" w:themeShade="BF"/>
      <w:spacing w:val="5"/>
    </w:rPr>
  </w:style>
  <w:style w:type="paragraph" w:styleId="Encabezado">
    <w:name w:val="header"/>
    <w:basedOn w:val="Normal"/>
    <w:link w:val="EncabezadoCar"/>
    <w:uiPriority w:val="99"/>
    <w:unhideWhenUsed/>
    <w:rsid w:val="00E64E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64E75"/>
  </w:style>
  <w:style w:type="paragraph" w:styleId="Piedepgina">
    <w:name w:val="footer"/>
    <w:basedOn w:val="Normal"/>
    <w:link w:val="PiedepginaCar"/>
    <w:uiPriority w:val="99"/>
    <w:unhideWhenUsed/>
    <w:rsid w:val="00E64E7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64E75"/>
  </w:style>
  <w:style w:type="paragraph" w:styleId="Revisin">
    <w:name w:val="Revision"/>
    <w:hidden/>
    <w:uiPriority w:val="99"/>
    <w:semiHidden/>
    <w:rsid w:val="00AE356F"/>
    <w:pPr>
      <w:spacing w:after="0" w:line="240" w:lineRule="auto"/>
    </w:pPr>
  </w:style>
  <w:style w:type="paragraph" w:styleId="NormalWeb">
    <w:name w:val="Normal (Web)"/>
    <w:basedOn w:val="Normal"/>
    <w:uiPriority w:val="99"/>
    <w:unhideWhenUsed/>
    <w:rsid w:val="005D0EC3"/>
    <w:pPr>
      <w:spacing w:before="100" w:beforeAutospacing="1" w:after="100" w:afterAutospacing="1" w:line="240" w:lineRule="auto"/>
    </w:pPr>
    <w:rPr>
      <w:rFonts w:ascii="Times New Roman" w:eastAsia="Times New Roman" w:hAnsi="Times New Roman" w:cs="Times New Roman"/>
      <w:kern w:val="0"/>
      <w:lang w:val="es-AR" w:eastAsia="es-MX"/>
      <w14:ligatures w14:val="none"/>
    </w:rPr>
  </w:style>
  <w:style w:type="character" w:styleId="Textoennegrita">
    <w:name w:val="Strong"/>
    <w:basedOn w:val="Fuentedeprrafopredeter"/>
    <w:uiPriority w:val="22"/>
    <w:qFormat/>
    <w:rsid w:val="005D0EC3"/>
    <w:rPr>
      <w:b/>
      <w:bCs/>
    </w:rPr>
  </w:style>
  <w:style w:type="paragraph" w:customStyle="1" w:styleId="isselectedend">
    <w:name w:val="isselectedend"/>
    <w:basedOn w:val="Normal"/>
    <w:rsid w:val="00721DB9"/>
    <w:pPr>
      <w:spacing w:before="100" w:beforeAutospacing="1" w:after="100" w:afterAutospacing="1" w:line="240" w:lineRule="auto"/>
    </w:pPr>
    <w:rPr>
      <w:rFonts w:ascii="Times New Roman" w:eastAsia="Times New Roman" w:hAnsi="Times New Roman" w:cs="Times New Roman"/>
      <w:kern w:val="0"/>
      <w:lang w:val="es-AR"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41106">
      <w:bodyDiv w:val="1"/>
      <w:marLeft w:val="0"/>
      <w:marRight w:val="0"/>
      <w:marTop w:val="0"/>
      <w:marBottom w:val="0"/>
      <w:divBdr>
        <w:top w:val="none" w:sz="0" w:space="0" w:color="auto"/>
        <w:left w:val="none" w:sz="0" w:space="0" w:color="auto"/>
        <w:bottom w:val="none" w:sz="0" w:space="0" w:color="auto"/>
        <w:right w:val="none" w:sz="0" w:space="0" w:color="auto"/>
      </w:divBdr>
    </w:div>
    <w:div w:id="293826959">
      <w:bodyDiv w:val="1"/>
      <w:marLeft w:val="0"/>
      <w:marRight w:val="0"/>
      <w:marTop w:val="0"/>
      <w:marBottom w:val="0"/>
      <w:divBdr>
        <w:top w:val="none" w:sz="0" w:space="0" w:color="auto"/>
        <w:left w:val="none" w:sz="0" w:space="0" w:color="auto"/>
        <w:bottom w:val="none" w:sz="0" w:space="0" w:color="auto"/>
        <w:right w:val="none" w:sz="0" w:space="0" w:color="auto"/>
      </w:divBdr>
    </w:div>
    <w:div w:id="353187497">
      <w:bodyDiv w:val="1"/>
      <w:marLeft w:val="0"/>
      <w:marRight w:val="0"/>
      <w:marTop w:val="0"/>
      <w:marBottom w:val="0"/>
      <w:divBdr>
        <w:top w:val="none" w:sz="0" w:space="0" w:color="auto"/>
        <w:left w:val="none" w:sz="0" w:space="0" w:color="auto"/>
        <w:bottom w:val="none" w:sz="0" w:space="0" w:color="auto"/>
        <w:right w:val="none" w:sz="0" w:space="0" w:color="auto"/>
      </w:divBdr>
    </w:div>
    <w:div w:id="501774516">
      <w:bodyDiv w:val="1"/>
      <w:marLeft w:val="0"/>
      <w:marRight w:val="0"/>
      <w:marTop w:val="0"/>
      <w:marBottom w:val="0"/>
      <w:divBdr>
        <w:top w:val="none" w:sz="0" w:space="0" w:color="auto"/>
        <w:left w:val="none" w:sz="0" w:space="0" w:color="auto"/>
        <w:bottom w:val="none" w:sz="0" w:space="0" w:color="auto"/>
        <w:right w:val="none" w:sz="0" w:space="0" w:color="auto"/>
      </w:divBdr>
    </w:div>
    <w:div w:id="171615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saviacomunicacion.com.ar" TargetMode="External"/><Relationship Id="rId1" Type="http://schemas.openxmlformats.org/officeDocument/2006/relationships/hyperlink" Target="mailto:prensa@saviacomunicacion.com.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66f60f-6d84-4e37-8fad-7e0871ac9541}" enabled="1" method="Privileged" siteId="{8bc97f9a-ea86-472e-8ab7-19db58c4c8af}" contentBits="2" removed="0"/>
</clbl:labelList>
</file>

<file path=docProps/app.xml><?xml version="1.0" encoding="utf-8"?>
<Properties xmlns="http://schemas.openxmlformats.org/officeDocument/2006/extended-properties" xmlns:vt="http://schemas.openxmlformats.org/officeDocument/2006/docPropsVTypes">
  <Template>Normal.dotm</Template>
  <TotalTime>93</TotalTime>
  <Pages>3</Pages>
  <Words>1130</Words>
  <Characters>6221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Matias Miguens</dc:creator>
  <cp:keywords/>
  <dc:description/>
  <cp:lastModifiedBy>Microsoft Office User</cp:lastModifiedBy>
  <cp:revision>3</cp:revision>
  <dcterms:created xsi:type="dcterms:W3CDTF">2026-10-23T16:11:00Z</dcterms:created>
  <dcterms:modified xsi:type="dcterms:W3CDTF">2026-10-23T16:56:00Z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6dd28598,591ab0de,6cbc8eca</vt:lpwstr>
  </property>
  <property fmtid="{D5CDD505-2E9C-101B-9397-08002B2CF9AE}" pid="3" name="ClassificationContentMarkingFooterFontProps">
    <vt:lpwstr>#000000,10,Aptos</vt:lpwstr>
  </property>
  <property fmtid="{D5CDD505-2E9C-101B-9397-08002B2CF9AE}" pid="4" name="ClassificationContentMarkingFooterText">
    <vt:lpwstr>Public</vt:lpwstr>
  </property>
</Properties>
</file>